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6C3D" w14:textId="77777777" w:rsidR="0056638D" w:rsidRPr="0056638D" w:rsidRDefault="0056638D" w:rsidP="0056638D">
      <w:pPr>
        <w:pStyle w:val="Header"/>
        <w:jc w:val="center"/>
        <w:rPr>
          <w:b/>
          <w:bCs/>
        </w:rPr>
      </w:pPr>
      <w:r w:rsidRPr="0056638D">
        <w:rPr>
          <w:b/>
          <w:bCs/>
        </w:rPr>
        <w:t>Medication Services Billing and Documentation FAQ</w:t>
      </w:r>
    </w:p>
    <w:p w14:paraId="22727C1A" w14:textId="77777777" w:rsidR="0056638D" w:rsidRPr="002E6599" w:rsidRDefault="0056638D" w:rsidP="008A0638">
      <w:p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393832" w14:textId="5EA8FF65" w:rsidR="00023287" w:rsidRPr="00AD77E2" w:rsidRDefault="00023287" w:rsidP="00023287">
      <w:pPr>
        <w:rPr>
          <w:rFonts w:eastAsia="Times New Roman"/>
          <w:b/>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7E2">
        <w:rPr>
          <w:rFonts w:eastAsia="Times New Roman"/>
          <w:b/>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Medication Codes and Client Plans</w:t>
      </w:r>
    </w:p>
    <w:p w14:paraId="7B53C6C1" w14:textId="67B2214C" w:rsidR="00023287" w:rsidRDefault="00023287" w:rsidP="00023287">
      <w:pPr>
        <w:rPr>
          <w:rFonts w:eastAsia="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 </w:t>
      </w:r>
      <w:r w:rsidRPr="00023287">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medication service codes should be included on the client plan?</w:t>
      </w:r>
    </w:p>
    <w:p w14:paraId="77054F47" w14:textId="69B72847" w:rsidR="00A9457C" w:rsidRDefault="00023287" w:rsidP="001E6F8F">
      <w:pPr>
        <w:spacing w:line="240" w:lineRule="auto"/>
        <w:ind w:left="720"/>
        <w:rPr>
          <w:rFonts w:eastAsia="Times New Roman"/>
        </w:rPr>
      </w:pPr>
      <w:r>
        <w:rPr>
          <w:rFonts w:eastAsia="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8E1CA3">
        <w:rPr>
          <w:rFonts w:eastAsia="Times New Roman"/>
        </w:rPr>
        <w:t xml:space="preserve"> Nursing/Medical staff should</w:t>
      </w:r>
      <w:r w:rsidR="005548EB">
        <w:rPr>
          <w:rFonts w:eastAsia="Times New Roman"/>
        </w:rPr>
        <w:t xml:space="preserve"> provide guidance </w:t>
      </w:r>
      <w:r w:rsidR="00EA7AF7">
        <w:rPr>
          <w:rFonts w:eastAsia="Times New Roman"/>
        </w:rPr>
        <w:t>to the Clinician</w:t>
      </w:r>
      <w:r w:rsidR="00E85764">
        <w:rPr>
          <w:rFonts w:eastAsia="Times New Roman"/>
        </w:rPr>
        <w:t xml:space="preserve"> who is writing the treatment plan</w:t>
      </w:r>
      <w:r w:rsidR="00EA7AF7">
        <w:rPr>
          <w:rFonts w:eastAsia="Times New Roman"/>
        </w:rPr>
        <w:t xml:space="preserve"> </w:t>
      </w:r>
      <w:r w:rsidR="005548EB">
        <w:rPr>
          <w:rFonts w:eastAsia="Times New Roman"/>
        </w:rPr>
        <w:t>about</w:t>
      </w:r>
      <w:r w:rsidRPr="00023287">
        <w:rPr>
          <w:rFonts w:eastAsia="Times New Roman"/>
        </w:rPr>
        <w:t xml:space="preserve"> which </w:t>
      </w:r>
      <w:r>
        <w:rPr>
          <w:rFonts w:eastAsia="Times New Roman"/>
        </w:rPr>
        <w:t>medication intervention</w:t>
      </w:r>
      <w:r w:rsidR="005548EB">
        <w:rPr>
          <w:rFonts w:eastAsia="Times New Roman"/>
        </w:rPr>
        <w:t xml:space="preserve"> service codes</w:t>
      </w:r>
      <w:r>
        <w:rPr>
          <w:rFonts w:eastAsia="Times New Roman"/>
        </w:rPr>
        <w:t xml:space="preserve"> will be </w:t>
      </w:r>
      <w:r w:rsidR="00D2149F">
        <w:rPr>
          <w:rFonts w:eastAsia="Times New Roman"/>
        </w:rPr>
        <w:t xml:space="preserve">regularly </w:t>
      </w:r>
      <w:r>
        <w:rPr>
          <w:rFonts w:eastAsia="Times New Roman"/>
        </w:rPr>
        <w:t>utilized.</w:t>
      </w:r>
      <w:r w:rsidR="00EA7AF7">
        <w:rPr>
          <w:rFonts w:eastAsia="Times New Roman"/>
        </w:rPr>
        <w:t xml:space="preserve"> Medication intervention service codes that are not</w:t>
      </w:r>
      <w:r w:rsidR="00D2149F">
        <w:rPr>
          <w:rFonts w:eastAsia="Times New Roman"/>
        </w:rPr>
        <w:t xml:space="preserve"> regularly utilized</w:t>
      </w:r>
      <w:r w:rsidR="00EA7AF7">
        <w:rPr>
          <w:rFonts w:eastAsia="Times New Roman"/>
        </w:rPr>
        <w:t xml:space="preserve"> </w:t>
      </w:r>
      <w:r w:rsidR="00D2149F">
        <w:rPr>
          <w:rFonts w:eastAsia="Times New Roman"/>
        </w:rPr>
        <w:t>do not need to be added to the client plan.</w:t>
      </w:r>
      <w:r>
        <w:rPr>
          <w:rFonts w:eastAsia="Times New Roman"/>
        </w:rPr>
        <w:t xml:space="preserve"> </w:t>
      </w:r>
      <w:r w:rsidR="00D2149F">
        <w:rPr>
          <w:rFonts w:eastAsia="Times New Roman"/>
        </w:rPr>
        <w:t xml:space="preserve"> When selecting the medication </w:t>
      </w:r>
      <w:r w:rsidR="008A0638">
        <w:rPr>
          <w:rFonts w:eastAsia="Times New Roman"/>
        </w:rPr>
        <w:t xml:space="preserve">intervention </w:t>
      </w:r>
      <w:r w:rsidR="00D2149F">
        <w:rPr>
          <w:rFonts w:eastAsia="Times New Roman"/>
        </w:rPr>
        <w:t>service code</w:t>
      </w:r>
      <w:r w:rsidR="008A0638">
        <w:rPr>
          <w:rFonts w:eastAsia="Times New Roman"/>
        </w:rPr>
        <w:t>(</w:t>
      </w:r>
      <w:r w:rsidR="00D2149F">
        <w:rPr>
          <w:rFonts w:eastAsia="Times New Roman"/>
        </w:rPr>
        <w:t>s</w:t>
      </w:r>
      <w:r w:rsidR="008A0638">
        <w:rPr>
          <w:rFonts w:eastAsia="Times New Roman"/>
        </w:rPr>
        <w:t>)</w:t>
      </w:r>
      <w:r w:rsidR="00D2149F">
        <w:rPr>
          <w:rFonts w:eastAsia="Times New Roman"/>
        </w:rPr>
        <w:t xml:space="preserve">, </w:t>
      </w:r>
      <w:r w:rsidR="00E85764">
        <w:rPr>
          <w:rFonts w:eastAsia="Times New Roman"/>
        </w:rPr>
        <w:t>the client’s</w:t>
      </w:r>
      <w:r w:rsidRPr="00023287">
        <w:rPr>
          <w:rFonts w:eastAsia="Times New Roman"/>
        </w:rPr>
        <w:t xml:space="preserve"> level of stability </w:t>
      </w:r>
      <w:r w:rsidR="00D2149F">
        <w:rPr>
          <w:rFonts w:eastAsia="Times New Roman"/>
        </w:rPr>
        <w:t>should be considered (</w:t>
      </w:r>
      <w:r w:rsidR="005548EB">
        <w:rPr>
          <w:rFonts w:eastAsia="Times New Roman"/>
        </w:rPr>
        <w:t xml:space="preserve">the </w:t>
      </w:r>
      <w:r w:rsidRPr="00023287">
        <w:rPr>
          <w:rFonts w:eastAsia="Times New Roman"/>
        </w:rPr>
        <w:t xml:space="preserve">higher the </w:t>
      </w:r>
      <w:r w:rsidR="005548EB">
        <w:rPr>
          <w:rFonts w:eastAsia="Times New Roman"/>
        </w:rPr>
        <w:t>service code</w:t>
      </w:r>
      <w:r w:rsidRPr="00023287">
        <w:rPr>
          <w:rFonts w:eastAsia="Times New Roman"/>
        </w:rPr>
        <w:t xml:space="preserve"> </w:t>
      </w:r>
      <w:r>
        <w:rPr>
          <w:rFonts w:eastAsia="Times New Roman"/>
        </w:rPr>
        <w:t>means the higher the severity</w:t>
      </w:r>
      <w:r w:rsidR="00EA7AF7">
        <w:rPr>
          <w:rFonts w:eastAsia="Times New Roman"/>
        </w:rPr>
        <w:t xml:space="preserve"> of clinical presentation</w:t>
      </w:r>
      <w:r>
        <w:rPr>
          <w:rFonts w:eastAsia="Times New Roman"/>
        </w:rPr>
        <w:t xml:space="preserve"> and complexity</w:t>
      </w:r>
      <w:r w:rsidR="00EA7AF7">
        <w:rPr>
          <w:rFonts w:eastAsia="Times New Roman"/>
        </w:rPr>
        <w:t xml:space="preserve"> of services provided</w:t>
      </w:r>
      <w:r w:rsidR="00D2149F">
        <w:rPr>
          <w:rFonts w:eastAsia="Times New Roman"/>
        </w:rPr>
        <w:t>)</w:t>
      </w:r>
      <w:r w:rsidRPr="00023287">
        <w:rPr>
          <w:rFonts w:eastAsia="Times New Roman"/>
        </w:rPr>
        <w:t>.</w:t>
      </w:r>
      <w:r>
        <w:rPr>
          <w:rFonts w:eastAsia="Times New Roman"/>
        </w:rPr>
        <w:t xml:space="preserve"> </w:t>
      </w:r>
    </w:p>
    <w:p w14:paraId="6DFF874C" w14:textId="20340071" w:rsidR="00A9457C" w:rsidRPr="00023287" w:rsidRDefault="00A9457C" w:rsidP="00667E1D">
      <w:pPr>
        <w:spacing w:line="240" w:lineRule="auto"/>
        <w:rPr>
          <w:rFonts w:eastAsia="Times New Roman"/>
        </w:rPr>
      </w:pPr>
      <w:r w:rsidRPr="00023287">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A9457C">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9457C">
        <w:rPr>
          <w:rFonts w:eastAsia="Times New Roman"/>
        </w:rPr>
        <w:t xml:space="preserve"> </w:t>
      </w:r>
      <w:r w:rsidRPr="00A9457C">
        <w:rPr>
          <w:rFonts w:eastAsia="Times New Roman"/>
          <w:b/>
          <w:bCs/>
        </w:rPr>
        <w:t xml:space="preserve">What does SC28 entail and does it need to be included on the client plan? Is SC28 </w:t>
      </w:r>
      <w:proofErr w:type="gramStart"/>
      <w:r w:rsidRPr="00A9457C">
        <w:rPr>
          <w:rFonts w:eastAsia="Times New Roman"/>
          <w:b/>
          <w:bCs/>
        </w:rPr>
        <w:t>similar to</w:t>
      </w:r>
      <w:proofErr w:type="gramEnd"/>
      <w:r w:rsidRPr="00A9457C">
        <w:rPr>
          <w:rFonts w:eastAsia="Times New Roman"/>
          <w:b/>
          <w:bCs/>
        </w:rPr>
        <w:t xml:space="preserve"> an SC70 in that it is not necessarily a “planned” service?</w:t>
      </w:r>
    </w:p>
    <w:p w14:paraId="6F19FBED" w14:textId="518D2261" w:rsidR="009415AE" w:rsidRDefault="00A9457C" w:rsidP="00A9457C">
      <w:pPr>
        <w:pStyle w:val="ListParagraph"/>
        <w:rPr>
          <w:rFonts w:eastAsia="Times New Roman"/>
        </w:rPr>
      </w:pPr>
      <w:r>
        <w:rPr>
          <w:rFonts w:eastAsia="Times New Roman"/>
          <w:b/>
          <w:bCs/>
        </w:rPr>
        <w:t xml:space="preserve">A: </w:t>
      </w:r>
      <w:r>
        <w:rPr>
          <w:rFonts w:eastAsia="Times New Roman"/>
        </w:rPr>
        <w:t>The client plan should only include service codes that the program will be utilizing on a regular basis.  Not every medication code needs to be included on the client plan, rather only those that are regularly used</w:t>
      </w:r>
      <w:r w:rsidRPr="00023287">
        <w:rPr>
          <w:rFonts w:eastAsia="Times New Roman"/>
        </w:rPr>
        <w:t xml:space="preserve">. </w:t>
      </w:r>
      <w:r w:rsidR="00E85764">
        <w:rPr>
          <w:rFonts w:eastAsia="Times New Roman"/>
        </w:rPr>
        <w:t xml:space="preserve"> </w:t>
      </w:r>
      <w:r w:rsidRPr="00023287">
        <w:rPr>
          <w:rFonts w:eastAsia="Times New Roman"/>
        </w:rPr>
        <w:t xml:space="preserve">SC28 is not </w:t>
      </w:r>
      <w:r>
        <w:rPr>
          <w:rFonts w:eastAsia="Times New Roman"/>
        </w:rPr>
        <w:t xml:space="preserve">necessarily the </w:t>
      </w:r>
      <w:r w:rsidRPr="00023287">
        <w:rPr>
          <w:rFonts w:eastAsia="Times New Roman"/>
        </w:rPr>
        <w:t>equivalent to SC70</w:t>
      </w:r>
      <w:r>
        <w:rPr>
          <w:rFonts w:eastAsia="Times New Roman"/>
        </w:rPr>
        <w:t xml:space="preserve">, as SC28 is not limited to being a crisis intervention medication code. </w:t>
      </w:r>
      <w:r w:rsidR="00E85764">
        <w:rPr>
          <w:rFonts w:eastAsia="Times New Roman"/>
        </w:rPr>
        <w:t xml:space="preserve"> SC28</w:t>
      </w:r>
      <w:r w:rsidR="00EA7AF7">
        <w:rPr>
          <w:rFonts w:eastAsia="Times New Roman"/>
        </w:rPr>
        <w:t xml:space="preserve"> should be used to document </w:t>
      </w:r>
      <w:r w:rsidRPr="00023287">
        <w:rPr>
          <w:rFonts w:eastAsia="Times New Roman"/>
        </w:rPr>
        <w:t>higher</w:t>
      </w:r>
      <w:r>
        <w:rPr>
          <w:rFonts w:eastAsia="Times New Roman"/>
        </w:rPr>
        <w:t xml:space="preserve"> </w:t>
      </w:r>
      <w:r w:rsidRPr="00023287">
        <w:rPr>
          <w:rFonts w:eastAsia="Times New Roman"/>
        </w:rPr>
        <w:t>severity</w:t>
      </w:r>
      <w:r>
        <w:rPr>
          <w:rFonts w:eastAsia="Times New Roman"/>
        </w:rPr>
        <w:t xml:space="preserve"> of client symptoms/history</w:t>
      </w:r>
      <w:r w:rsidRPr="00023287">
        <w:rPr>
          <w:rFonts w:eastAsia="Times New Roman"/>
        </w:rPr>
        <w:t xml:space="preserve"> </w:t>
      </w:r>
      <w:r w:rsidR="00E85764">
        <w:rPr>
          <w:rFonts w:eastAsia="Times New Roman"/>
        </w:rPr>
        <w:t>and</w:t>
      </w:r>
      <w:r w:rsidRPr="00023287">
        <w:rPr>
          <w:rFonts w:eastAsia="Times New Roman"/>
        </w:rPr>
        <w:t xml:space="preserve"> </w:t>
      </w:r>
      <w:r>
        <w:rPr>
          <w:rFonts w:eastAsia="Times New Roman"/>
        </w:rPr>
        <w:t xml:space="preserve">medication </w:t>
      </w:r>
      <w:r w:rsidR="00EA7AF7">
        <w:rPr>
          <w:rFonts w:eastAsia="Times New Roman"/>
        </w:rPr>
        <w:t xml:space="preserve">service </w:t>
      </w:r>
      <w:r w:rsidRPr="00023287">
        <w:rPr>
          <w:rFonts w:eastAsia="Times New Roman"/>
        </w:rPr>
        <w:t>complexity</w:t>
      </w:r>
      <w:r>
        <w:rPr>
          <w:rFonts w:eastAsia="Times New Roman"/>
        </w:rPr>
        <w:t xml:space="preserve">. </w:t>
      </w:r>
    </w:p>
    <w:p w14:paraId="554B2379" w14:textId="77777777" w:rsidR="00A9457C" w:rsidRPr="00A9457C" w:rsidRDefault="00A9457C" w:rsidP="00A9457C">
      <w:pPr>
        <w:pStyle w:val="ListParagraph"/>
        <w:rPr>
          <w:rFonts w:eastAsia="Times New Roman"/>
          <w:b/>
          <w:bCs/>
        </w:rPr>
      </w:pPr>
    </w:p>
    <w:p w14:paraId="31DC51E5" w14:textId="57D1C93E" w:rsidR="009415AE" w:rsidRPr="00A9457C" w:rsidRDefault="009415AE" w:rsidP="00667E1D">
      <w:pPr>
        <w:spacing w:line="240" w:lineRule="auto"/>
        <w:rPr>
          <w:rFonts w:eastAsia="Times New Roman"/>
          <w:b/>
          <w:bCs/>
          <w:color w:val="000000"/>
        </w:rPr>
      </w:pPr>
      <w:r w:rsidRPr="00A9457C">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 </w:t>
      </w:r>
      <w:r w:rsidRPr="00A9457C">
        <w:rPr>
          <w:rFonts w:eastAsia="Times New Roman"/>
          <w:b/>
          <w:bCs/>
          <w:color w:val="000000"/>
        </w:rPr>
        <w:t>What is the best way for clinical staff to write client plan med</w:t>
      </w:r>
      <w:r w:rsidR="008A0638">
        <w:rPr>
          <w:rFonts w:eastAsia="Times New Roman"/>
          <w:b/>
          <w:bCs/>
          <w:color w:val="000000"/>
        </w:rPr>
        <w:t xml:space="preserve">ication </w:t>
      </w:r>
      <w:r w:rsidRPr="00A9457C">
        <w:rPr>
          <w:rFonts w:eastAsia="Times New Roman"/>
          <w:b/>
          <w:bCs/>
          <w:color w:val="000000"/>
        </w:rPr>
        <w:t>code interventions that do not seem ‘cloned’ specifically for SC25, SC26,</w:t>
      </w:r>
      <w:r w:rsidR="00EA7AF7">
        <w:rPr>
          <w:rFonts w:eastAsia="Times New Roman"/>
          <w:b/>
          <w:bCs/>
          <w:color w:val="000000"/>
        </w:rPr>
        <w:t xml:space="preserve"> and</w:t>
      </w:r>
      <w:r w:rsidRPr="00A9457C">
        <w:rPr>
          <w:rFonts w:eastAsia="Times New Roman"/>
          <w:b/>
          <w:bCs/>
          <w:color w:val="000000"/>
        </w:rPr>
        <w:t xml:space="preserve"> SC27. The definition</w:t>
      </w:r>
      <w:r w:rsidR="00EA7AF7">
        <w:rPr>
          <w:rFonts w:eastAsia="Times New Roman"/>
          <w:b/>
          <w:bCs/>
          <w:color w:val="000000"/>
        </w:rPr>
        <w:t>s</w:t>
      </w:r>
      <w:r w:rsidRPr="00A9457C">
        <w:rPr>
          <w:rFonts w:eastAsia="Times New Roman"/>
          <w:b/>
          <w:bCs/>
          <w:color w:val="000000"/>
        </w:rPr>
        <w:t xml:space="preserve"> of those codes </w:t>
      </w:r>
      <w:r w:rsidR="00EA7AF7">
        <w:rPr>
          <w:rFonts w:eastAsia="Times New Roman"/>
          <w:b/>
          <w:bCs/>
          <w:color w:val="000000"/>
        </w:rPr>
        <w:t>are</w:t>
      </w:r>
      <w:r w:rsidRPr="00A9457C">
        <w:rPr>
          <w:rFonts w:eastAsia="Times New Roman"/>
          <w:b/>
          <w:bCs/>
          <w:color w:val="000000"/>
        </w:rPr>
        <w:t xml:space="preserve"> similar </w:t>
      </w:r>
      <w:r w:rsidR="0091231F">
        <w:rPr>
          <w:rFonts w:eastAsia="Times New Roman"/>
          <w:b/>
          <w:bCs/>
          <w:color w:val="000000"/>
        </w:rPr>
        <w:t>so</w:t>
      </w:r>
      <w:r w:rsidRPr="00A9457C">
        <w:rPr>
          <w:rFonts w:eastAsia="Times New Roman"/>
          <w:b/>
          <w:bCs/>
          <w:color w:val="000000"/>
        </w:rPr>
        <w:t xml:space="preserve"> it</w:t>
      </w:r>
      <w:r w:rsidR="00EA7AF7">
        <w:rPr>
          <w:rFonts w:eastAsia="Times New Roman"/>
          <w:b/>
          <w:bCs/>
          <w:color w:val="000000"/>
        </w:rPr>
        <w:t xml:space="preserve"> can be</w:t>
      </w:r>
      <w:r w:rsidRPr="00A9457C">
        <w:rPr>
          <w:rFonts w:eastAsia="Times New Roman"/>
          <w:b/>
          <w:bCs/>
          <w:color w:val="000000"/>
        </w:rPr>
        <w:t xml:space="preserve"> challenging for staff to write unique info</w:t>
      </w:r>
      <w:r w:rsidR="00EA7AF7">
        <w:rPr>
          <w:rFonts w:eastAsia="Times New Roman"/>
          <w:b/>
          <w:bCs/>
          <w:color w:val="000000"/>
        </w:rPr>
        <w:t>rmation</w:t>
      </w:r>
      <w:r w:rsidRPr="00A9457C">
        <w:rPr>
          <w:rFonts w:eastAsia="Times New Roman"/>
          <w:b/>
          <w:bCs/>
          <w:color w:val="000000"/>
        </w:rPr>
        <w:t xml:space="preserve"> to those service code interventions. </w:t>
      </w:r>
    </w:p>
    <w:p w14:paraId="62ED5560" w14:textId="14301B28" w:rsidR="009404BD" w:rsidRDefault="009415AE" w:rsidP="008A0638">
      <w:pPr>
        <w:spacing w:line="240" w:lineRule="auto"/>
        <w:ind w:left="720"/>
        <w:rPr>
          <w:rFonts w:eastAsia="Times New Roman"/>
          <w:color w:val="000000"/>
        </w:rPr>
      </w:pPr>
      <w:r>
        <w:rPr>
          <w:rFonts w:eastAsia="Times New Roman"/>
          <w:b/>
          <w:bCs/>
          <w:color w:val="000000"/>
        </w:rPr>
        <w:t xml:space="preserve">A: </w:t>
      </w:r>
      <w:r w:rsidR="00541CC8">
        <w:rPr>
          <w:rFonts w:eastAsia="Times New Roman"/>
          <w:color w:val="000000"/>
        </w:rPr>
        <w:t xml:space="preserve">Client plans only need to include the interventions that will be provided on a regular basis. </w:t>
      </w:r>
      <w:r w:rsidR="00E85764">
        <w:rPr>
          <w:rFonts w:eastAsia="Times New Roman"/>
          <w:color w:val="000000"/>
        </w:rPr>
        <w:t xml:space="preserve">Having fewer medication codes on the plan should </w:t>
      </w:r>
      <w:r w:rsidR="00541CC8">
        <w:rPr>
          <w:rFonts w:eastAsia="Times New Roman"/>
          <w:color w:val="000000"/>
        </w:rPr>
        <w:t xml:space="preserve">help to alleviate duplication between medication codes. Interventions should focus on the client’s mental health symptoms and how </w:t>
      </w:r>
      <w:r w:rsidR="0091231F">
        <w:rPr>
          <w:rFonts w:eastAsia="Times New Roman"/>
          <w:color w:val="000000"/>
        </w:rPr>
        <w:t>services</w:t>
      </w:r>
      <w:r w:rsidR="00541CC8">
        <w:rPr>
          <w:rFonts w:eastAsia="Times New Roman"/>
          <w:color w:val="000000"/>
        </w:rPr>
        <w:t xml:space="preserve"> plan to address the symptoms/impairments. </w:t>
      </w:r>
    </w:p>
    <w:p w14:paraId="196B0F7A" w14:textId="77777777" w:rsidR="008A0638" w:rsidRPr="009404BD" w:rsidRDefault="008A0638" w:rsidP="008A0638">
      <w:pPr>
        <w:spacing w:line="240" w:lineRule="auto"/>
        <w:ind w:left="720"/>
        <w:rPr>
          <w:rFonts w:eastAsia="Times New Roman"/>
          <w:color w:val="000000"/>
        </w:rPr>
      </w:pPr>
    </w:p>
    <w:p w14:paraId="0EAC47EE" w14:textId="5B026074" w:rsidR="000B4F93" w:rsidRPr="00AD77E2" w:rsidRDefault="00541CC8" w:rsidP="00541CC8">
      <w:pPr>
        <w:rPr>
          <w:rFonts w:eastAsia="Times New Roman"/>
          <w:b/>
          <w:bCs/>
          <w:i/>
          <w:iCs/>
          <w:u w:val="single"/>
        </w:rPr>
      </w:pPr>
      <w:r w:rsidRPr="00AD77E2">
        <w:rPr>
          <w:rFonts w:eastAsia="Times New Roman"/>
          <w:b/>
          <w:bCs/>
          <w:i/>
          <w:iCs/>
          <w:u w:val="single"/>
        </w:rPr>
        <w:t xml:space="preserve">Service Code 14 Documentation </w:t>
      </w:r>
    </w:p>
    <w:p w14:paraId="025039CD" w14:textId="7BE8180F" w:rsidR="000B4F93" w:rsidRPr="009404BD" w:rsidRDefault="00541CC8" w:rsidP="00667E1D">
      <w:pPr>
        <w:spacing w:line="240" w:lineRule="auto"/>
        <w:rPr>
          <w:rFonts w:eastAsia="Times New Roman"/>
          <w:b/>
          <w:bCs/>
        </w:rPr>
      </w:pPr>
      <w:r>
        <w:rPr>
          <w:rFonts w:eastAsia="Times New Roman"/>
          <w:b/>
          <w:bCs/>
        </w:rPr>
        <w:t>Q:</w:t>
      </w:r>
      <w:r w:rsidR="00836333">
        <w:rPr>
          <w:rFonts w:eastAsia="Times New Roman"/>
          <w:b/>
          <w:bCs/>
        </w:rPr>
        <w:t xml:space="preserve"> </w:t>
      </w:r>
      <w:r w:rsidR="00836333" w:rsidRPr="009404BD">
        <w:rPr>
          <w:rFonts w:eastAsia="Times New Roman"/>
          <w:b/>
          <w:bCs/>
        </w:rPr>
        <w:t xml:space="preserve">Can SC14 be used to </w:t>
      </w:r>
      <w:r w:rsidR="00BD10BB" w:rsidRPr="009404BD">
        <w:rPr>
          <w:rFonts w:eastAsia="Times New Roman"/>
          <w:b/>
          <w:bCs/>
        </w:rPr>
        <w:t xml:space="preserve">bill for </w:t>
      </w:r>
      <w:r w:rsidR="00836333" w:rsidRPr="009404BD">
        <w:rPr>
          <w:rFonts w:eastAsia="Times New Roman"/>
          <w:b/>
          <w:bCs/>
        </w:rPr>
        <w:t xml:space="preserve">review </w:t>
      </w:r>
      <w:r w:rsidR="00BD10BB" w:rsidRPr="009404BD">
        <w:rPr>
          <w:rFonts w:eastAsia="Times New Roman"/>
          <w:b/>
          <w:bCs/>
        </w:rPr>
        <w:t xml:space="preserve">of </w:t>
      </w:r>
      <w:r w:rsidR="000B4F93" w:rsidRPr="009404BD">
        <w:rPr>
          <w:rFonts w:eastAsia="Times New Roman"/>
          <w:b/>
          <w:bCs/>
        </w:rPr>
        <w:t>outside records (such as records that come from an outside entity or hospital</w:t>
      </w:r>
      <w:r w:rsidR="009404BD" w:rsidRPr="009404BD">
        <w:rPr>
          <w:rFonts w:eastAsia="Times New Roman"/>
          <w:b/>
          <w:bCs/>
        </w:rPr>
        <w:t>)</w:t>
      </w:r>
      <w:r w:rsidR="000B4F93" w:rsidRPr="009404BD">
        <w:rPr>
          <w:rFonts w:eastAsia="Times New Roman"/>
          <w:b/>
          <w:bCs/>
        </w:rPr>
        <w:t xml:space="preserve"> in between a </w:t>
      </w:r>
      <w:r w:rsidR="00CC65CE">
        <w:rPr>
          <w:rFonts w:eastAsia="Times New Roman"/>
          <w:b/>
          <w:bCs/>
        </w:rPr>
        <w:t>client</w:t>
      </w:r>
      <w:r w:rsidR="000B4F93" w:rsidRPr="009404BD">
        <w:rPr>
          <w:rFonts w:eastAsia="Times New Roman"/>
          <w:b/>
          <w:bCs/>
        </w:rPr>
        <w:t>’s scheduled appointments</w:t>
      </w:r>
      <w:r w:rsidR="009404BD" w:rsidRPr="009404BD">
        <w:rPr>
          <w:rFonts w:eastAsia="Times New Roman"/>
          <w:b/>
          <w:bCs/>
        </w:rPr>
        <w:t>?</w:t>
      </w:r>
    </w:p>
    <w:p w14:paraId="340CB7EE" w14:textId="1C9EC77E" w:rsidR="009404BD" w:rsidRDefault="00E74B06" w:rsidP="0089621C">
      <w:pPr>
        <w:pStyle w:val="ListParagraph"/>
        <w:numPr>
          <w:ilvl w:val="0"/>
          <w:numId w:val="21"/>
        </w:numPr>
        <w:rPr>
          <w:rFonts w:eastAsia="Times New Roman"/>
        </w:rPr>
      </w:pPr>
      <w:r w:rsidRPr="009404BD">
        <w:rPr>
          <w:rFonts w:eastAsia="Times New Roman"/>
        </w:rPr>
        <w:t>SC1</w:t>
      </w:r>
      <w:r w:rsidR="008C59FF" w:rsidRPr="009404BD">
        <w:rPr>
          <w:rFonts w:eastAsia="Times New Roman"/>
        </w:rPr>
        <w:t>4</w:t>
      </w:r>
      <w:r w:rsidR="009404BD">
        <w:rPr>
          <w:rFonts w:eastAsia="Times New Roman"/>
        </w:rPr>
        <w:t xml:space="preserve"> </w:t>
      </w:r>
      <w:r w:rsidRPr="009404BD">
        <w:rPr>
          <w:rFonts w:eastAsia="Times New Roman"/>
        </w:rPr>
        <w:t xml:space="preserve">can be used to review outside </w:t>
      </w:r>
      <w:r w:rsidR="00CD5552" w:rsidRPr="009404BD">
        <w:rPr>
          <w:rFonts w:eastAsia="Times New Roman"/>
        </w:rPr>
        <w:t xml:space="preserve">records </w:t>
      </w:r>
      <w:r w:rsidR="009404BD" w:rsidRPr="009404BD">
        <w:rPr>
          <w:rFonts w:eastAsia="Times New Roman"/>
        </w:rPr>
        <w:t>outside of appointment time</w:t>
      </w:r>
      <w:r w:rsidR="008A0638">
        <w:rPr>
          <w:rFonts w:eastAsia="Times New Roman"/>
        </w:rPr>
        <w:t>s</w:t>
      </w:r>
      <w:r w:rsidR="009404BD" w:rsidRPr="009404BD">
        <w:rPr>
          <w:rFonts w:eastAsia="Times New Roman"/>
        </w:rPr>
        <w:t xml:space="preserve"> as long as the documentation indicates how </w:t>
      </w:r>
      <w:r w:rsidR="00E85764">
        <w:rPr>
          <w:rFonts w:eastAsia="Times New Roman"/>
        </w:rPr>
        <w:t>the information that was gleaned</w:t>
      </w:r>
      <w:r w:rsidR="00956901">
        <w:rPr>
          <w:rFonts w:eastAsia="Times New Roman"/>
        </w:rPr>
        <w:t xml:space="preserve"> from the review</w:t>
      </w:r>
      <w:r w:rsidR="009404BD" w:rsidRPr="009404BD">
        <w:rPr>
          <w:rFonts w:eastAsia="Times New Roman"/>
        </w:rPr>
        <w:t xml:space="preserve"> is being used to inform treatment.</w:t>
      </w:r>
    </w:p>
    <w:p w14:paraId="6BFB23F1" w14:textId="77777777" w:rsidR="0089621C" w:rsidRDefault="0089621C" w:rsidP="0089621C">
      <w:pPr>
        <w:pStyle w:val="ListParagraph"/>
        <w:ind w:left="1080"/>
        <w:rPr>
          <w:rFonts w:eastAsia="Times New Roman"/>
        </w:rPr>
      </w:pPr>
    </w:p>
    <w:p w14:paraId="0A95A6C8" w14:textId="77596710" w:rsidR="009404BD" w:rsidRPr="0056638D" w:rsidRDefault="009404BD" w:rsidP="0056638D">
      <w:pPr>
        <w:spacing w:line="240" w:lineRule="auto"/>
        <w:rPr>
          <w:rFonts w:eastAsia="Times New Roman"/>
          <w:b/>
          <w:bCs/>
        </w:rPr>
      </w:pPr>
      <w:r>
        <w:rPr>
          <w:rFonts w:eastAsia="Times New Roman"/>
          <w:b/>
          <w:bCs/>
        </w:rPr>
        <w:t xml:space="preserve">Q: </w:t>
      </w:r>
      <w:r w:rsidR="00F750BF">
        <w:rPr>
          <w:rFonts w:eastAsia="Times New Roman"/>
          <w:b/>
          <w:bCs/>
        </w:rPr>
        <w:t xml:space="preserve"> </w:t>
      </w:r>
      <w:r>
        <w:rPr>
          <w:rFonts w:eastAsia="Times New Roman"/>
          <w:b/>
          <w:bCs/>
        </w:rPr>
        <w:t xml:space="preserve">If the Provider reviews records prior to the session, do </w:t>
      </w:r>
      <w:r w:rsidR="008A0638">
        <w:rPr>
          <w:rFonts w:eastAsia="Times New Roman"/>
          <w:b/>
          <w:bCs/>
        </w:rPr>
        <w:t>two</w:t>
      </w:r>
      <w:r>
        <w:rPr>
          <w:rFonts w:eastAsia="Times New Roman"/>
          <w:b/>
          <w:bCs/>
        </w:rPr>
        <w:t xml:space="preserve"> separate notes need to be written (i.e., one for the record review and one for the </w:t>
      </w:r>
      <w:r w:rsidR="00916D32">
        <w:rPr>
          <w:rFonts w:eastAsia="Times New Roman"/>
          <w:b/>
          <w:bCs/>
        </w:rPr>
        <w:t>direct service</w:t>
      </w:r>
      <w:r>
        <w:rPr>
          <w:rFonts w:eastAsia="Times New Roman"/>
          <w:b/>
          <w:bCs/>
        </w:rPr>
        <w:t xml:space="preserve"> time)?</w:t>
      </w:r>
    </w:p>
    <w:p w14:paraId="5A13A881" w14:textId="77777777" w:rsidR="009404BD" w:rsidRDefault="009404BD" w:rsidP="009404BD">
      <w:pPr>
        <w:pStyle w:val="ListParagraph"/>
        <w:rPr>
          <w:rFonts w:eastAsia="Times New Roman"/>
        </w:rPr>
      </w:pPr>
      <w:r w:rsidRPr="00E62EC5">
        <w:rPr>
          <w:rFonts w:eastAsia="Times New Roman"/>
          <w:b/>
          <w:bCs/>
        </w:rPr>
        <w:t>A:</w:t>
      </w:r>
      <w:r>
        <w:rPr>
          <w:rFonts w:eastAsia="Times New Roman"/>
        </w:rPr>
        <w:t xml:space="preserve">  There are two options for this scenario:</w:t>
      </w:r>
    </w:p>
    <w:p w14:paraId="53EB0FF4" w14:textId="1049D968" w:rsidR="009404BD" w:rsidRDefault="009404BD" w:rsidP="009404BD">
      <w:pPr>
        <w:pStyle w:val="ListParagraph"/>
        <w:numPr>
          <w:ilvl w:val="0"/>
          <w:numId w:val="6"/>
        </w:numPr>
        <w:rPr>
          <w:rFonts w:eastAsia="Times New Roman"/>
        </w:rPr>
      </w:pPr>
      <w:r>
        <w:rPr>
          <w:rFonts w:eastAsia="Times New Roman"/>
        </w:rPr>
        <w:t>The Provider can write two separate notes and bill separately for SC14 and</w:t>
      </w:r>
      <w:r w:rsidR="00DF30A6">
        <w:rPr>
          <w:rFonts w:eastAsia="Times New Roman"/>
        </w:rPr>
        <w:t xml:space="preserve"> medication service code, i.e., SC26</w:t>
      </w:r>
      <w:r w:rsidR="00AD7F25">
        <w:rPr>
          <w:rFonts w:eastAsia="Times New Roman"/>
        </w:rPr>
        <w:t xml:space="preserve"> </w:t>
      </w:r>
      <w:r w:rsidR="00DF30A6">
        <w:rPr>
          <w:rFonts w:eastAsia="Times New Roman"/>
        </w:rPr>
        <w:t>-</w:t>
      </w:r>
      <w:r w:rsidR="00AD7F25">
        <w:rPr>
          <w:rFonts w:eastAsia="Times New Roman"/>
        </w:rPr>
        <w:t xml:space="preserve"> OR </w:t>
      </w:r>
      <w:r w:rsidR="00916D32">
        <w:rPr>
          <w:rFonts w:eastAsia="Times New Roman"/>
        </w:rPr>
        <w:t xml:space="preserve">- </w:t>
      </w:r>
    </w:p>
    <w:p w14:paraId="08F24271" w14:textId="36207097" w:rsidR="00916D32" w:rsidRDefault="009404BD" w:rsidP="00916D32">
      <w:pPr>
        <w:pStyle w:val="ListParagraph"/>
        <w:numPr>
          <w:ilvl w:val="0"/>
          <w:numId w:val="6"/>
        </w:numPr>
        <w:rPr>
          <w:rFonts w:eastAsia="Times New Roman"/>
        </w:rPr>
      </w:pPr>
      <w:r>
        <w:rPr>
          <w:rFonts w:eastAsia="Times New Roman"/>
        </w:rPr>
        <w:lastRenderedPageBreak/>
        <w:t>The r</w:t>
      </w:r>
      <w:r w:rsidR="00EA0077" w:rsidRPr="009404BD">
        <w:rPr>
          <w:rFonts w:eastAsia="Times New Roman"/>
        </w:rPr>
        <w:t xml:space="preserve">eview of records can be added to </w:t>
      </w:r>
      <w:r>
        <w:rPr>
          <w:rFonts w:eastAsia="Times New Roman"/>
        </w:rPr>
        <w:t>s</w:t>
      </w:r>
      <w:r w:rsidR="00EA0077" w:rsidRPr="009404BD">
        <w:rPr>
          <w:rFonts w:eastAsia="Times New Roman"/>
        </w:rPr>
        <w:t xml:space="preserve">ervice </w:t>
      </w:r>
      <w:r>
        <w:rPr>
          <w:rFonts w:eastAsia="Times New Roman"/>
        </w:rPr>
        <w:t>t</w:t>
      </w:r>
      <w:r w:rsidR="00EA0077" w:rsidRPr="009404BD">
        <w:rPr>
          <w:rFonts w:eastAsia="Times New Roman"/>
        </w:rPr>
        <w:t xml:space="preserve">ime to SC26 and </w:t>
      </w:r>
      <w:r>
        <w:rPr>
          <w:rFonts w:eastAsia="Times New Roman"/>
        </w:rPr>
        <w:t xml:space="preserve">the provider would clearly </w:t>
      </w:r>
      <w:r w:rsidR="00EA0077" w:rsidRPr="009404BD">
        <w:rPr>
          <w:rFonts w:eastAsia="Times New Roman"/>
        </w:rPr>
        <w:t>document what part</w:t>
      </w:r>
      <w:r w:rsidR="00DF30A6">
        <w:rPr>
          <w:rFonts w:eastAsia="Times New Roman"/>
        </w:rPr>
        <w:t xml:space="preserve"> of</w:t>
      </w:r>
      <w:r w:rsidR="00EA0077" w:rsidRPr="009404BD">
        <w:rPr>
          <w:rFonts w:eastAsia="Times New Roman"/>
        </w:rPr>
        <w:t xml:space="preserve"> the service time </w:t>
      </w:r>
      <w:r w:rsidR="00DF30A6">
        <w:rPr>
          <w:rFonts w:eastAsia="Times New Roman"/>
        </w:rPr>
        <w:t xml:space="preserve">was </w:t>
      </w:r>
      <w:r w:rsidR="00EA0077" w:rsidRPr="009404BD">
        <w:rPr>
          <w:rFonts w:eastAsia="Times New Roman"/>
        </w:rPr>
        <w:t>spent reviewing documents.</w:t>
      </w:r>
      <w:r w:rsidR="00C16697" w:rsidRPr="009404BD">
        <w:rPr>
          <w:rFonts w:eastAsia="Times New Roman"/>
        </w:rPr>
        <w:t xml:space="preserve"> </w:t>
      </w:r>
    </w:p>
    <w:p w14:paraId="46137326" w14:textId="77777777" w:rsidR="00453A60" w:rsidRPr="00453A60" w:rsidRDefault="00453A60" w:rsidP="00453A60">
      <w:pPr>
        <w:pStyle w:val="ListParagraph"/>
        <w:ind w:left="1440"/>
        <w:rPr>
          <w:rFonts w:eastAsia="Times New Roman"/>
        </w:rPr>
      </w:pPr>
    </w:p>
    <w:p w14:paraId="66461598" w14:textId="3BD3C660" w:rsidR="00916D32" w:rsidRDefault="00916D32" w:rsidP="00E62EC5">
      <w:pPr>
        <w:spacing w:line="240" w:lineRule="auto"/>
        <w:rPr>
          <w:rFonts w:eastAsia="Times New Roman"/>
          <w:b/>
          <w:bCs/>
        </w:rPr>
      </w:pPr>
      <w:r>
        <w:rPr>
          <w:rFonts w:eastAsia="Times New Roman"/>
          <w:b/>
          <w:bCs/>
        </w:rPr>
        <w:t>Q:</w:t>
      </w:r>
      <w:r w:rsidR="00F750BF">
        <w:rPr>
          <w:rFonts w:eastAsia="Times New Roman"/>
          <w:b/>
          <w:bCs/>
        </w:rPr>
        <w:t xml:space="preserve"> </w:t>
      </w:r>
      <w:r>
        <w:rPr>
          <w:rFonts w:eastAsia="Times New Roman"/>
          <w:b/>
          <w:bCs/>
        </w:rPr>
        <w:t xml:space="preserve"> If the Provider reviews records prior to a scheduled appointment and then the </w:t>
      </w:r>
      <w:r w:rsidR="00CC65CE">
        <w:rPr>
          <w:rFonts w:eastAsia="Times New Roman"/>
          <w:b/>
          <w:bCs/>
        </w:rPr>
        <w:t>client</w:t>
      </w:r>
      <w:r>
        <w:rPr>
          <w:rFonts w:eastAsia="Times New Roman"/>
          <w:b/>
          <w:bCs/>
        </w:rPr>
        <w:t xml:space="preserve"> no shows, what service code should be used?</w:t>
      </w:r>
    </w:p>
    <w:p w14:paraId="32F1969D" w14:textId="59FE3EDC" w:rsidR="00E62EC5" w:rsidRPr="00453A60" w:rsidRDefault="00E62EC5" w:rsidP="00453A60">
      <w:pPr>
        <w:spacing w:line="240" w:lineRule="auto"/>
        <w:ind w:left="720"/>
        <w:rPr>
          <w:rFonts w:eastAsia="Times New Roman"/>
        </w:rPr>
      </w:pPr>
      <w:r w:rsidRPr="00E62EC5">
        <w:rPr>
          <w:rFonts w:eastAsia="Times New Roman"/>
          <w:b/>
          <w:bCs/>
        </w:rPr>
        <w:t>A:</w:t>
      </w:r>
      <w:r>
        <w:rPr>
          <w:rFonts w:eastAsia="Times New Roman"/>
        </w:rPr>
        <w:t xml:space="preserve">  </w:t>
      </w:r>
      <w:r w:rsidRPr="00E62EC5">
        <w:rPr>
          <w:rFonts w:eastAsia="Times New Roman"/>
        </w:rPr>
        <w:t xml:space="preserve">The Provider </w:t>
      </w:r>
      <w:r>
        <w:rPr>
          <w:rFonts w:eastAsia="Times New Roman"/>
        </w:rPr>
        <w:t>should be mindful that for no shows, no service time should be billed</w:t>
      </w:r>
      <w:r w:rsidR="00453A60">
        <w:rPr>
          <w:rFonts w:eastAsia="Times New Roman"/>
        </w:rPr>
        <w:t xml:space="preserve"> for the intended service code (i.e., SC26)</w:t>
      </w:r>
      <w:r>
        <w:rPr>
          <w:rFonts w:eastAsia="Times New Roman"/>
        </w:rPr>
        <w:t xml:space="preserve">.  The Provider should </w:t>
      </w:r>
      <w:r w:rsidR="0096159B">
        <w:rPr>
          <w:rFonts w:eastAsia="Times New Roman"/>
        </w:rPr>
        <w:t xml:space="preserve">write an SC26 reflecting </w:t>
      </w:r>
      <w:r w:rsidR="00477A63">
        <w:rPr>
          <w:rFonts w:eastAsia="Times New Roman"/>
        </w:rPr>
        <w:t>the</w:t>
      </w:r>
      <w:r w:rsidR="0096159B">
        <w:rPr>
          <w:rFonts w:eastAsia="Times New Roman"/>
        </w:rPr>
        <w:t xml:space="preserve"> no show and then</w:t>
      </w:r>
      <w:r>
        <w:rPr>
          <w:rFonts w:eastAsia="Times New Roman"/>
        </w:rPr>
        <w:t xml:space="preserve"> a separate note to</w:t>
      </w:r>
      <w:r w:rsidRPr="00E62EC5">
        <w:rPr>
          <w:rFonts w:eastAsia="Times New Roman"/>
        </w:rPr>
        <w:t xml:space="preserve"> bill for SC14</w:t>
      </w:r>
      <w:r>
        <w:rPr>
          <w:rFonts w:eastAsia="Times New Roman"/>
        </w:rPr>
        <w:t>.</w:t>
      </w:r>
    </w:p>
    <w:p w14:paraId="5CD20025" w14:textId="7F5C79E2" w:rsidR="00563CEC" w:rsidRDefault="00563CEC" w:rsidP="00563CEC">
      <w:pPr>
        <w:spacing w:after="0"/>
        <w:rPr>
          <w:rFonts w:eastAsia="Times New Roman"/>
          <w:b/>
          <w:bCs/>
        </w:rPr>
      </w:pPr>
    </w:p>
    <w:p w14:paraId="19BCC944" w14:textId="44B05A83" w:rsidR="00563CEC" w:rsidRPr="00AD77E2" w:rsidRDefault="00563CEC" w:rsidP="00563CEC">
      <w:pPr>
        <w:spacing w:after="0"/>
        <w:rPr>
          <w:rFonts w:eastAsia="Times New Roman"/>
          <w:b/>
          <w:bCs/>
          <w:i/>
          <w:iCs/>
          <w:u w:val="single"/>
        </w:rPr>
      </w:pPr>
      <w:r w:rsidRPr="00AD77E2">
        <w:rPr>
          <w:rFonts w:eastAsia="Times New Roman"/>
          <w:b/>
          <w:bCs/>
          <w:i/>
          <w:iCs/>
          <w:u w:val="single"/>
        </w:rPr>
        <w:t>Service Code 15 Documentation</w:t>
      </w:r>
    </w:p>
    <w:p w14:paraId="3C8D34B3" w14:textId="102B7A17" w:rsidR="00563CEC" w:rsidRDefault="00563CEC" w:rsidP="00563CEC">
      <w:pPr>
        <w:spacing w:after="0"/>
        <w:rPr>
          <w:rFonts w:eastAsia="Times New Roman"/>
          <w:b/>
          <w:bCs/>
          <w:u w:val="single"/>
        </w:rPr>
      </w:pPr>
    </w:p>
    <w:p w14:paraId="6EF78DA2" w14:textId="25F831A0" w:rsidR="00563CEC" w:rsidRPr="0090390B" w:rsidRDefault="00563CEC" w:rsidP="0090390B">
      <w:pPr>
        <w:rPr>
          <w:rFonts w:eastAsia="Times New Roman"/>
        </w:rPr>
      </w:pPr>
      <w:r>
        <w:rPr>
          <w:rFonts w:eastAsia="Times New Roman"/>
          <w:b/>
          <w:bCs/>
        </w:rPr>
        <w:t xml:space="preserve">Q: </w:t>
      </w:r>
      <w:r w:rsidR="0090390B" w:rsidRPr="00453A60">
        <w:rPr>
          <w:rFonts w:eastAsia="Times New Roman"/>
          <w:b/>
          <w:bCs/>
        </w:rPr>
        <w:t>Under what circumstances can SC15 be billed for external report preparation</w:t>
      </w:r>
      <w:r w:rsidR="00453A60" w:rsidRPr="00453A60">
        <w:rPr>
          <w:rFonts w:eastAsia="Times New Roman"/>
          <w:b/>
          <w:bCs/>
        </w:rPr>
        <w:t>…</w:t>
      </w:r>
    </w:p>
    <w:p w14:paraId="56FDF812" w14:textId="2B2C61D2" w:rsidR="00CF327D" w:rsidRDefault="00CF327D" w:rsidP="00453A60">
      <w:pPr>
        <w:spacing w:after="0" w:line="240" w:lineRule="auto"/>
        <w:ind w:left="720"/>
        <w:rPr>
          <w:rFonts w:eastAsia="Times New Roman"/>
          <w:b/>
          <w:bCs/>
        </w:rPr>
      </w:pPr>
      <w:r>
        <w:rPr>
          <w:rFonts w:eastAsia="Times New Roman"/>
          <w:b/>
          <w:bCs/>
        </w:rPr>
        <w:t xml:space="preserve">Q1: </w:t>
      </w:r>
      <w:r w:rsidR="006F64F9">
        <w:rPr>
          <w:rFonts w:eastAsia="Times New Roman"/>
          <w:b/>
          <w:bCs/>
        </w:rPr>
        <w:t xml:space="preserve">Can </w:t>
      </w:r>
      <w:r>
        <w:rPr>
          <w:rFonts w:eastAsia="Times New Roman"/>
          <w:b/>
          <w:bCs/>
        </w:rPr>
        <w:t xml:space="preserve">Conservatorship forms be claimed under SC15? </w:t>
      </w:r>
    </w:p>
    <w:p w14:paraId="2BD3E7FB" w14:textId="3530E148" w:rsidR="006F64F9" w:rsidRDefault="00CF327D" w:rsidP="00453A60">
      <w:pPr>
        <w:spacing w:after="0" w:line="240" w:lineRule="auto"/>
        <w:ind w:left="720"/>
        <w:rPr>
          <w:rFonts w:eastAsia="Times New Roman"/>
        </w:rPr>
      </w:pPr>
      <w:r w:rsidRPr="0090390B">
        <w:rPr>
          <w:rFonts w:eastAsia="Times New Roman"/>
          <w:b/>
          <w:bCs/>
        </w:rPr>
        <w:t>A1:</w:t>
      </w:r>
      <w:r w:rsidRPr="006F64F9">
        <w:rPr>
          <w:rFonts w:eastAsia="Times New Roman"/>
        </w:rPr>
        <w:t xml:space="preserve"> </w:t>
      </w:r>
      <w:r w:rsidR="006F64F9">
        <w:rPr>
          <w:rFonts w:eastAsia="Times New Roman"/>
        </w:rPr>
        <w:t xml:space="preserve"> </w:t>
      </w:r>
      <w:r w:rsidR="009C20B7">
        <w:rPr>
          <w:rFonts w:eastAsia="Times New Roman"/>
        </w:rPr>
        <w:t xml:space="preserve">For Conservatorship paperwork, time spent on any clinical elements of the paperwork would be billable provided that the documentation clearly </w:t>
      </w:r>
      <w:r w:rsidR="002F7E22">
        <w:rPr>
          <w:rFonts w:eastAsia="Times New Roman"/>
        </w:rPr>
        <w:t>capture</w:t>
      </w:r>
      <w:r w:rsidR="009C20B7">
        <w:rPr>
          <w:rFonts w:eastAsia="Times New Roman"/>
        </w:rPr>
        <w:t xml:space="preserve">s the clinical aspects, such as reviewing the diagnosis </w:t>
      </w:r>
      <w:r w:rsidR="003D59CC">
        <w:rPr>
          <w:rFonts w:eastAsia="Times New Roman"/>
        </w:rPr>
        <w:t>and</w:t>
      </w:r>
      <w:r w:rsidR="009C20B7">
        <w:rPr>
          <w:rFonts w:eastAsia="Times New Roman"/>
        </w:rPr>
        <w:t xml:space="preserve"> </w:t>
      </w:r>
      <w:r w:rsidR="003D59CC">
        <w:rPr>
          <w:rFonts w:eastAsia="Times New Roman"/>
        </w:rPr>
        <w:t>outlin</w:t>
      </w:r>
      <w:r w:rsidR="009C20B7">
        <w:rPr>
          <w:rFonts w:eastAsia="Times New Roman"/>
        </w:rPr>
        <w:t xml:space="preserve">ing the functional impairments.  Any administrative components related to the Conservatorship paperwork should be </w:t>
      </w:r>
      <w:r w:rsidR="002F7E22">
        <w:rPr>
          <w:rFonts w:eastAsia="Times New Roman"/>
        </w:rPr>
        <w:t>ex</w:t>
      </w:r>
      <w:r w:rsidR="009C20B7">
        <w:rPr>
          <w:rFonts w:eastAsia="Times New Roman"/>
        </w:rPr>
        <w:t xml:space="preserve">cluded </w:t>
      </w:r>
      <w:r w:rsidR="002F7E22">
        <w:rPr>
          <w:rFonts w:eastAsia="Times New Roman"/>
        </w:rPr>
        <w:t>from</w:t>
      </w:r>
      <w:r w:rsidR="009C20B7">
        <w:rPr>
          <w:rFonts w:eastAsia="Times New Roman"/>
        </w:rPr>
        <w:t xml:space="preserve"> the service time.</w:t>
      </w:r>
    </w:p>
    <w:p w14:paraId="1F2C6F1F" w14:textId="305A10E8" w:rsidR="009C20B7" w:rsidRDefault="009C20B7" w:rsidP="00B00813">
      <w:pPr>
        <w:spacing w:after="0"/>
        <w:ind w:left="720"/>
        <w:rPr>
          <w:rFonts w:eastAsia="Times New Roman"/>
        </w:rPr>
      </w:pPr>
    </w:p>
    <w:p w14:paraId="0A476C53" w14:textId="42415D8D" w:rsidR="002F7E22" w:rsidRPr="002F7E22" w:rsidRDefault="002F7E22" w:rsidP="00B00813">
      <w:pPr>
        <w:spacing w:after="0"/>
        <w:ind w:left="720"/>
        <w:rPr>
          <w:rFonts w:eastAsia="Times New Roman"/>
          <w:b/>
          <w:bCs/>
        </w:rPr>
      </w:pPr>
      <w:r w:rsidRPr="002F7E22">
        <w:rPr>
          <w:rFonts w:eastAsia="Times New Roman"/>
          <w:b/>
          <w:bCs/>
        </w:rPr>
        <w:t>Q2:  Can Payee forms be claimed under SC15?</w:t>
      </w:r>
    </w:p>
    <w:p w14:paraId="7CBC736C" w14:textId="27E10D10" w:rsidR="002F7E22" w:rsidRDefault="002F7E22" w:rsidP="00B00813">
      <w:pPr>
        <w:spacing w:after="0"/>
        <w:ind w:left="720"/>
        <w:rPr>
          <w:rFonts w:eastAsia="Times New Roman"/>
        </w:rPr>
      </w:pPr>
      <w:r w:rsidRPr="00035877">
        <w:rPr>
          <w:rFonts w:eastAsia="Times New Roman"/>
          <w:b/>
          <w:bCs/>
        </w:rPr>
        <w:t>A2</w:t>
      </w:r>
      <w:r w:rsidR="00035877">
        <w:rPr>
          <w:rFonts w:eastAsia="Times New Roman"/>
          <w:b/>
          <w:bCs/>
        </w:rPr>
        <w:t>:</w:t>
      </w:r>
      <w:r>
        <w:rPr>
          <w:rFonts w:eastAsia="Times New Roman"/>
        </w:rPr>
        <w:t xml:space="preserve">  </w:t>
      </w:r>
      <w:r w:rsidR="000A0532">
        <w:rPr>
          <w:rFonts w:eastAsia="Times New Roman"/>
        </w:rPr>
        <w:t>Payee paperwork is not considered billable by DHCS.</w:t>
      </w:r>
    </w:p>
    <w:p w14:paraId="0E513B47" w14:textId="360A3309" w:rsidR="004E49BA" w:rsidRDefault="004E49BA" w:rsidP="002F7E22">
      <w:pPr>
        <w:spacing w:after="0"/>
        <w:rPr>
          <w:rFonts w:eastAsia="Times New Roman"/>
          <w:b/>
          <w:bCs/>
        </w:rPr>
      </w:pPr>
    </w:p>
    <w:p w14:paraId="4054A3EE" w14:textId="602E2A7E" w:rsidR="004E49BA" w:rsidRDefault="004E49BA" w:rsidP="00B00813">
      <w:pPr>
        <w:spacing w:after="0"/>
        <w:ind w:left="720"/>
        <w:rPr>
          <w:rFonts w:eastAsia="Times New Roman"/>
          <w:b/>
          <w:bCs/>
        </w:rPr>
      </w:pPr>
      <w:r w:rsidRPr="000A0532">
        <w:rPr>
          <w:rFonts w:eastAsia="Times New Roman"/>
          <w:b/>
          <w:bCs/>
        </w:rPr>
        <w:t>Q</w:t>
      </w:r>
      <w:r w:rsidR="002F7E22" w:rsidRPr="000A0532">
        <w:rPr>
          <w:rFonts w:eastAsia="Times New Roman"/>
          <w:b/>
          <w:bCs/>
        </w:rPr>
        <w:t>3</w:t>
      </w:r>
      <w:r w:rsidRPr="000A0532">
        <w:rPr>
          <w:rFonts w:eastAsia="Times New Roman"/>
          <w:b/>
          <w:bCs/>
        </w:rPr>
        <w:t xml:space="preserve">: </w:t>
      </w:r>
      <w:r w:rsidR="002F7E22" w:rsidRPr="000A0532">
        <w:rPr>
          <w:rFonts w:eastAsia="Times New Roman"/>
          <w:b/>
          <w:bCs/>
        </w:rPr>
        <w:t xml:space="preserve"> Can writing letters regarding emotional support animals or service animals be billable under SC15?</w:t>
      </w:r>
    </w:p>
    <w:p w14:paraId="53D9018C" w14:textId="2A1CFCE6" w:rsidR="00E80DA5" w:rsidRPr="002F7E22" w:rsidRDefault="00E80DA5" w:rsidP="00B00813">
      <w:pPr>
        <w:spacing w:after="0"/>
        <w:ind w:left="720"/>
        <w:rPr>
          <w:rFonts w:eastAsia="Times New Roman"/>
        </w:rPr>
      </w:pPr>
      <w:r>
        <w:rPr>
          <w:rFonts w:eastAsia="Times New Roman"/>
          <w:b/>
          <w:bCs/>
        </w:rPr>
        <w:t>A</w:t>
      </w:r>
      <w:r w:rsidR="002F7E22">
        <w:rPr>
          <w:rFonts w:eastAsia="Times New Roman"/>
          <w:b/>
          <w:bCs/>
        </w:rPr>
        <w:t>3</w:t>
      </w:r>
      <w:r>
        <w:rPr>
          <w:rFonts w:eastAsia="Times New Roman"/>
          <w:b/>
          <w:bCs/>
        </w:rPr>
        <w:t xml:space="preserve">: </w:t>
      </w:r>
      <w:r w:rsidR="002F7E22">
        <w:rPr>
          <w:rFonts w:eastAsia="Times New Roman"/>
          <w:b/>
          <w:bCs/>
        </w:rPr>
        <w:t xml:space="preserve"> </w:t>
      </w:r>
      <w:r w:rsidR="002F7E22">
        <w:rPr>
          <w:rFonts w:eastAsia="Times New Roman"/>
        </w:rPr>
        <w:t xml:space="preserve">It depends.  If there is a clinical element to the task, it could be billable provided that the documentation clearly shows how it </w:t>
      </w:r>
      <w:r w:rsidR="00FB6B7F">
        <w:rPr>
          <w:rFonts w:eastAsia="Times New Roman"/>
        </w:rPr>
        <w:t>ties back to the treatment plan</w:t>
      </w:r>
      <w:r w:rsidR="002F7E22">
        <w:rPr>
          <w:rFonts w:eastAsia="Times New Roman"/>
        </w:rPr>
        <w:t xml:space="preserve">.  </w:t>
      </w:r>
      <w:proofErr w:type="gramStart"/>
      <w:r w:rsidR="002F7E22">
        <w:rPr>
          <w:rFonts w:eastAsia="Times New Roman"/>
        </w:rPr>
        <w:t>The majority of</w:t>
      </w:r>
      <w:proofErr w:type="gramEnd"/>
      <w:r w:rsidR="002F7E22">
        <w:rPr>
          <w:rFonts w:eastAsia="Times New Roman"/>
        </w:rPr>
        <w:t xml:space="preserve"> this task is administrative and should be excluded from service time.  If providers are unsure if a particular service is billable or for documentation questions, they can</w:t>
      </w:r>
      <w:r w:rsidR="007C118C">
        <w:rPr>
          <w:rFonts w:eastAsia="Times New Roman"/>
          <w:b/>
          <w:bCs/>
        </w:rPr>
        <w:t xml:space="preserve"> </w:t>
      </w:r>
      <w:r w:rsidR="007C118C" w:rsidRPr="002F7E22">
        <w:rPr>
          <w:rFonts w:eastAsia="Times New Roman"/>
        </w:rPr>
        <w:t>reach out to QI Matters</w:t>
      </w:r>
      <w:r w:rsidR="002F7E22" w:rsidRPr="002F7E22">
        <w:rPr>
          <w:rFonts w:eastAsia="Times New Roman"/>
        </w:rPr>
        <w:t xml:space="preserve"> for clarification.</w:t>
      </w:r>
    </w:p>
    <w:p w14:paraId="37A06DA5" w14:textId="209B2C68" w:rsidR="00936DE8" w:rsidRDefault="00936DE8" w:rsidP="00B00813">
      <w:pPr>
        <w:spacing w:after="0"/>
        <w:ind w:left="720"/>
        <w:rPr>
          <w:rFonts w:eastAsia="Times New Roman"/>
          <w:b/>
          <w:bCs/>
        </w:rPr>
      </w:pPr>
    </w:p>
    <w:p w14:paraId="7C0366F9" w14:textId="4234D738" w:rsidR="00936DE8" w:rsidRDefault="00936DE8" w:rsidP="00B00813">
      <w:pPr>
        <w:spacing w:after="0"/>
        <w:ind w:left="720"/>
        <w:rPr>
          <w:rFonts w:eastAsia="Times New Roman"/>
          <w:b/>
          <w:bCs/>
        </w:rPr>
      </w:pPr>
      <w:r>
        <w:rPr>
          <w:rFonts w:eastAsia="Times New Roman"/>
          <w:b/>
          <w:bCs/>
        </w:rPr>
        <w:t>Q</w:t>
      </w:r>
      <w:r w:rsidR="000A7653">
        <w:rPr>
          <w:rFonts w:eastAsia="Times New Roman"/>
          <w:b/>
          <w:bCs/>
        </w:rPr>
        <w:t>4</w:t>
      </w:r>
      <w:r>
        <w:rPr>
          <w:rFonts w:eastAsia="Times New Roman"/>
          <w:b/>
          <w:bCs/>
        </w:rPr>
        <w:t xml:space="preserve">: Can completion of forms </w:t>
      </w:r>
      <w:r w:rsidR="000A7653">
        <w:rPr>
          <w:rFonts w:eastAsia="Times New Roman"/>
          <w:b/>
          <w:bCs/>
        </w:rPr>
        <w:t>related to</w:t>
      </w:r>
      <w:r>
        <w:rPr>
          <w:rFonts w:eastAsia="Times New Roman"/>
          <w:b/>
          <w:bCs/>
        </w:rPr>
        <w:t xml:space="preserve"> Citizenship be bill</w:t>
      </w:r>
      <w:r w:rsidR="000A7653">
        <w:rPr>
          <w:rFonts w:eastAsia="Times New Roman"/>
          <w:b/>
          <w:bCs/>
        </w:rPr>
        <w:t>able under SC15</w:t>
      </w:r>
      <w:r>
        <w:rPr>
          <w:rFonts w:eastAsia="Times New Roman"/>
          <w:b/>
          <w:bCs/>
        </w:rPr>
        <w:t>?</w:t>
      </w:r>
    </w:p>
    <w:p w14:paraId="5235AC97" w14:textId="4FB4C088" w:rsidR="00936DE8" w:rsidRDefault="00936DE8" w:rsidP="00B00813">
      <w:pPr>
        <w:spacing w:after="0"/>
        <w:ind w:left="720"/>
        <w:rPr>
          <w:rFonts w:eastAsia="Times New Roman"/>
        </w:rPr>
      </w:pPr>
      <w:r>
        <w:rPr>
          <w:rFonts w:eastAsia="Times New Roman"/>
          <w:b/>
          <w:bCs/>
        </w:rPr>
        <w:t>A</w:t>
      </w:r>
      <w:r w:rsidR="000A7653">
        <w:rPr>
          <w:rFonts w:eastAsia="Times New Roman"/>
          <w:b/>
          <w:bCs/>
        </w:rPr>
        <w:t>4</w:t>
      </w:r>
      <w:r>
        <w:rPr>
          <w:rFonts w:eastAsia="Times New Roman"/>
          <w:b/>
          <w:bCs/>
        </w:rPr>
        <w:t>:</w:t>
      </w:r>
      <w:r w:rsidR="001A528A">
        <w:rPr>
          <w:rFonts w:eastAsia="Times New Roman"/>
          <w:b/>
          <w:bCs/>
        </w:rPr>
        <w:t xml:space="preserve"> </w:t>
      </w:r>
      <w:r w:rsidR="000A7653">
        <w:rPr>
          <w:rFonts w:eastAsia="Times New Roman"/>
          <w:b/>
          <w:bCs/>
        </w:rPr>
        <w:t xml:space="preserve"> </w:t>
      </w:r>
      <w:r w:rsidR="000A7653">
        <w:rPr>
          <w:rFonts w:eastAsia="Times New Roman"/>
        </w:rPr>
        <w:t xml:space="preserve">It depends.  If there is a clinical element to the task, it could be billable provided that the documentation clearly shows how </w:t>
      </w:r>
      <w:r w:rsidR="003D59CC">
        <w:rPr>
          <w:rFonts w:eastAsia="Times New Roman"/>
        </w:rPr>
        <w:t>ties back to the treatment plan</w:t>
      </w:r>
      <w:r w:rsidR="000A7653">
        <w:rPr>
          <w:rFonts w:eastAsia="Times New Roman"/>
        </w:rPr>
        <w:t xml:space="preserve">.  For example, if a provider was providing documentation that the </w:t>
      </w:r>
      <w:r w:rsidR="00CC65CE">
        <w:rPr>
          <w:rFonts w:eastAsia="Times New Roman"/>
        </w:rPr>
        <w:t>client</w:t>
      </w:r>
      <w:r w:rsidR="000A7653">
        <w:rPr>
          <w:rFonts w:eastAsia="Times New Roman"/>
        </w:rPr>
        <w:t xml:space="preserve"> is not able to take the Citizenship exam due to their mental health symptoms, this type of service could be billable along as the documentation clearly indicates </w:t>
      </w:r>
      <w:r w:rsidR="003D59CC">
        <w:rPr>
          <w:rFonts w:eastAsia="Times New Roman"/>
        </w:rPr>
        <w:t>the clinical component and how it relates to the client plan</w:t>
      </w:r>
      <w:r w:rsidR="000A7653">
        <w:rPr>
          <w:rFonts w:eastAsia="Times New Roman"/>
        </w:rPr>
        <w:t>.  Other aspects of Citizenship paperwork may be administrative and should be excluded from service time.  If providers are unsure if a particular service is billable or for documentation questions, they can</w:t>
      </w:r>
      <w:r w:rsidR="000A7653">
        <w:rPr>
          <w:rFonts w:eastAsia="Times New Roman"/>
          <w:b/>
          <w:bCs/>
        </w:rPr>
        <w:t xml:space="preserve"> </w:t>
      </w:r>
      <w:r w:rsidR="000A7653" w:rsidRPr="002F7E22">
        <w:rPr>
          <w:rFonts w:eastAsia="Times New Roman"/>
        </w:rPr>
        <w:t>reach out to QI Matters for clarification.</w:t>
      </w:r>
    </w:p>
    <w:p w14:paraId="06490638" w14:textId="3A804512" w:rsidR="007C0B22" w:rsidRDefault="007C0B22" w:rsidP="00B00813">
      <w:pPr>
        <w:spacing w:after="0"/>
        <w:ind w:left="720"/>
        <w:rPr>
          <w:rFonts w:eastAsia="Times New Roman"/>
        </w:rPr>
      </w:pPr>
    </w:p>
    <w:p w14:paraId="101C6375" w14:textId="25DB8F31" w:rsidR="007C0B22" w:rsidRDefault="007C0B22" w:rsidP="007C0B22">
      <w:pPr>
        <w:spacing w:after="0"/>
        <w:ind w:left="720"/>
        <w:rPr>
          <w:rFonts w:eastAsia="Times New Roman"/>
          <w:b/>
          <w:bCs/>
        </w:rPr>
      </w:pPr>
      <w:r>
        <w:rPr>
          <w:rFonts w:eastAsia="Times New Roman"/>
          <w:b/>
          <w:bCs/>
        </w:rPr>
        <w:lastRenderedPageBreak/>
        <w:t>Q</w:t>
      </w:r>
      <w:r w:rsidR="00035877">
        <w:rPr>
          <w:rFonts w:eastAsia="Times New Roman"/>
          <w:b/>
          <w:bCs/>
        </w:rPr>
        <w:t>5</w:t>
      </w:r>
      <w:r>
        <w:rPr>
          <w:rFonts w:eastAsia="Times New Roman"/>
          <w:b/>
          <w:bCs/>
        </w:rPr>
        <w:t>: Can completion of the Application for Reduced Far</w:t>
      </w:r>
      <w:r w:rsidR="00C13732">
        <w:rPr>
          <w:rFonts w:eastAsia="Times New Roman"/>
          <w:b/>
          <w:bCs/>
        </w:rPr>
        <w:t>e</w:t>
      </w:r>
      <w:r w:rsidR="003D59CC">
        <w:rPr>
          <w:rFonts w:eastAsia="Times New Roman"/>
          <w:b/>
          <w:bCs/>
        </w:rPr>
        <w:t xml:space="preserve"> f</w:t>
      </w:r>
      <w:r>
        <w:rPr>
          <w:rFonts w:eastAsia="Times New Roman"/>
          <w:b/>
          <w:bCs/>
        </w:rPr>
        <w:t>or MTS bus passes be billable under SC15?</w:t>
      </w:r>
    </w:p>
    <w:p w14:paraId="65E69C41" w14:textId="0B63C06A" w:rsidR="007C0B22" w:rsidRPr="00761F32" w:rsidRDefault="00761F32" w:rsidP="00B00813">
      <w:pPr>
        <w:spacing w:after="0"/>
        <w:ind w:left="720"/>
        <w:rPr>
          <w:rFonts w:eastAsia="Times New Roman"/>
        </w:rPr>
      </w:pPr>
      <w:r>
        <w:rPr>
          <w:rFonts w:eastAsia="Times New Roman"/>
          <w:b/>
          <w:bCs/>
        </w:rPr>
        <w:t xml:space="preserve">A5:  </w:t>
      </w:r>
      <w:r>
        <w:rPr>
          <w:rFonts w:eastAsia="Times New Roman"/>
        </w:rPr>
        <w:t>For MTS bus pass Application for Reduced Far</w:t>
      </w:r>
      <w:r w:rsidR="00C13732">
        <w:rPr>
          <w:rFonts w:eastAsia="Times New Roman"/>
        </w:rPr>
        <w:t>e</w:t>
      </w:r>
      <w:r>
        <w:rPr>
          <w:rFonts w:eastAsia="Times New Roman"/>
        </w:rPr>
        <w:t xml:space="preserve"> paperwork, the time spen</w:t>
      </w:r>
      <w:r w:rsidR="00F750BF">
        <w:rPr>
          <w:rFonts w:eastAsia="Times New Roman"/>
        </w:rPr>
        <w:t>t</w:t>
      </w:r>
      <w:r>
        <w:rPr>
          <w:rFonts w:eastAsia="Times New Roman"/>
        </w:rPr>
        <w:t xml:space="preserve"> on any clinical elements of the paperwork would be billable provided that the documentation clearly captures the clinical aspects</w:t>
      </w:r>
      <w:r w:rsidR="00FB6B7F">
        <w:rPr>
          <w:rFonts w:eastAsia="Times New Roman"/>
        </w:rPr>
        <w:t xml:space="preserve"> and how they tie </w:t>
      </w:r>
      <w:r w:rsidR="003D59CC">
        <w:rPr>
          <w:rFonts w:eastAsia="Times New Roman"/>
        </w:rPr>
        <w:t>back</w:t>
      </w:r>
      <w:r w:rsidR="00FB6B7F">
        <w:rPr>
          <w:rFonts w:eastAsia="Times New Roman"/>
        </w:rPr>
        <w:t xml:space="preserve"> to the treatment plan</w:t>
      </w:r>
      <w:r>
        <w:rPr>
          <w:rFonts w:eastAsia="Times New Roman"/>
        </w:rPr>
        <w:t xml:space="preserve">.  Any administrative components related to the MTS Bus Pass paperwork should be excluded from the service time. </w:t>
      </w:r>
    </w:p>
    <w:p w14:paraId="10D1940D" w14:textId="3B6A3086" w:rsidR="001A528A" w:rsidRDefault="001A528A" w:rsidP="004C2179">
      <w:pPr>
        <w:spacing w:after="0"/>
        <w:rPr>
          <w:rFonts w:eastAsia="Times New Roman"/>
          <w:b/>
          <w:bCs/>
        </w:rPr>
      </w:pPr>
    </w:p>
    <w:p w14:paraId="01E58831" w14:textId="6D976467" w:rsidR="002F7E22" w:rsidRDefault="004C2179" w:rsidP="002F7E22">
      <w:pPr>
        <w:spacing w:after="0"/>
        <w:ind w:left="720"/>
        <w:rPr>
          <w:rFonts w:eastAsia="Times New Roman"/>
          <w:b/>
          <w:bCs/>
        </w:rPr>
      </w:pPr>
      <w:r>
        <w:rPr>
          <w:rFonts w:eastAsia="Times New Roman"/>
          <w:b/>
          <w:bCs/>
        </w:rPr>
        <w:t>Q</w:t>
      </w:r>
      <w:r w:rsidR="00761F32">
        <w:rPr>
          <w:rFonts w:eastAsia="Times New Roman"/>
          <w:b/>
          <w:bCs/>
        </w:rPr>
        <w:t>6</w:t>
      </w:r>
      <w:r>
        <w:rPr>
          <w:rFonts w:eastAsia="Times New Roman"/>
          <w:b/>
          <w:bCs/>
        </w:rPr>
        <w:t>:  Can letters related</w:t>
      </w:r>
      <w:r w:rsidR="002F7E22">
        <w:rPr>
          <w:rFonts w:eastAsia="Times New Roman"/>
          <w:b/>
          <w:bCs/>
        </w:rPr>
        <w:t xml:space="preserve"> </w:t>
      </w:r>
      <w:r>
        <w:rPr>
          <w:rFonts w:eastAsia="Times New Roman"/>
          <w:b/>
          <w:bCs/>
        </w:rPr>
        <w:t xml:space="preserve">to </w:t>
      </w:r>
      <w:r w:rsidR="002F7E22">
        <w:rPr>
          <w:rFonts w:eastAsia="Times New Roman"/>
          <w:b/>
          <w:bCs/>
        </w:rPr>
        <w:t>Coordination of Care,</w:t>
      </w:r>
      <w:r>
        <w:rPr>
          <w:rFonts w:eastAsia="Times New Roman"/>
          <w:b/>
          <w:bCs/>
        </w:rPr>
        <w:t xml:space="preserve"> such as letters to other Treatment Providers,</w:t>
      </w:r>
      <w:r w:rsidR="002F7E22">
        <w:rPr>
          <w:rFonts w:eastAsia="Times New Roman"/>
          <w:b/>
          <w:bCs/>
        </w:rPr>
        <w:t xml:space="preserve"> </w:t>
      </w:r>
      <w:r>
        <w:rPr>
          <w:rFonts w:eastAsia="Times New Roman"/>
          <w:b/>
          <w:bCs/>
        </w:rPr>
        <w:t>be billable under</w:t>
      </w:r>
      <w:r w:rsidR="002F7E22">
        <w:rPr>
          <w:rFonts w:eastAsia="Times New Roman"/>
          <w:b/>
          <w:bCs/>
        </w:rPr>
        <w:t xml:space="preserve"> SC1</w:t>
      </w:r>
      <w:r>
        <w:rPr>
          <w:rFonts w:eastAsia="Times New Roman"/>
          <w:b/>
          <w:bCs/>
        </w:rPr>
        <w:t>5</w:t>
      </w:r>
      <w:r w:rsidR="002F7E22">
        <w:rPr>
          <w:rFonts w:eastAsia="Times New Roman"/>
          <w:b/>
          <w:bCs/>
        </w:rPr>
        <w:t>?</w:t>
      </w:r>
    </w:p>
    <w:p w14:paraId="63F3BBE7" w14:textId="05131B99" w:rsidR="00FA520D" w:rsidRDefault="0090390B" w:rsidP="002F7E22">
      <w:pPr>
        <w:spacing w:after="0"/>
        <w:ind w:left="720"/>
        <w:rPr>
          <w:rFonts w:eastAsia="Times New Roman"/>
        </w:rPr>
      </w:pPr>
      <w:r w:rsidRPr="0090390B">
        <w:rPr>
          <w:rFonts w:eastAsia="Times New Roman"/>
          <w:b/>
          <w:bCs/>
        </w:rPr>
        <w:t>A6</w:t>
      </w:r>
      <w:r>
        <w:rPr>
          <w:rFonts w:eastAsia="Times New Roman"/>
        </w:rPr>
        <w:t xml:space="preserve">: </w:t>
      </w:r>
      <w:r w:rsidR="00FA520D">
        <w:rPr>
          <w:rFonts w:eastAsia="Times New Roman"/>
        </w:rPr>
        <w:t>It depends.  If there is a clinical element to the task, it could be billable provided that the documentation clearly shows how it is billable. Other aspects of writing letters may be administrative and should be excluded from service time.  If providers are unsure if a particular service is billable or for documentation questions, they can</w:t>
      </w:r>
      <w:r w:rsidR="00FA520D">
        <w:rPr>
          <w:rFonts w:eastAsia="Times New Roman"/>
          <w:b/>
          <w:bCs/>
        </w:rPr>
        <w:t xml:space="preserve"> </w:t>
      </w:r>
      <w:r w:rsidR="00FA520D" w:rsidRPr="002F7E22">
        <w:rPr>
          <w:rFonts w:eastAsia="Times New Roman"/>
        </w:rPr>
        <w:t>reach out to QI Matters for clarification.</w:t>
      </w:r>
    </w:p>
    <w:p w14:paraId="1C800DA7" w14:textId="77987D55" w:rsidR="0090390B" w:rsidRDefault="0090390B" w:rsidP="002F7E22">
      <w:pPr>
        <w:spacing w:after="0"/>
        <w:ind w:left="720"/>
        <w:rPr>
          <w:rFonts w:eastAsia="Times New Roman"/>
        </w:rPr>
      </w:pPr>
    </w:p>
    <w:p w14:paraId="646441B2" w14:textId="490CD8F2" w:rsidR="0090390B" w:rsidRPr="00AA1CEF" w:rsidRDefault="0090390B" w:rsidP="002F7E22">
      <w:pPr>
        <w:spacing w:after="0"/>
        <w:ind w:left="720"/>
        <w:rPr>
          <w:rFonts w:eastAsia="Times New Roman"/>
          <w:b/>
          <w:bCs/>
        </w:rPr>
      </w:pPr>
      <w:r w:rsidRPr="00AA1CEF">
        <w:rPr>
          <w:rFonts w:eastAsia="Times New Roman"/>
          <w:b/>
          <w:bCs/>
        </w:rPr>
        <w:t>Q7:  Can</w:t>
      </w:r>
      <w:r w:rsidR="00AA1CEF">
        <w:rPr>
          <w:rFonts w:eastAsia="Times New Roman"/>
          <w:b/>
          <w:bCs/>
        </w:rPr>
        <w:t xml:space="preserve"> completing </w:t>
      </w:r>
      <w:r w:rsidRPr="00AA1CEF">
        <w:rPr>
          <w:rFonts w:eastAsia="Times New Roman"/>
          <w:b/>
          <w:bCs/>
        </w:rPr>
        <w:t>SSI/GR/</w:t>
      </w:r>
      <w:proofErr w:type="spellStart"/>
      <w:r w:rsidRPr="00AA1CEF">
        <w:rPr>
          <w:rFonts w:eastAsia="Times New Roman"/>
          <w:b/>
          <w:bCs/>
        </w:rPr>
        <w:t>Calfresh</w:t>
      </w:r>
      <w:proofErr w:type="spellEnd"/>
      <w:r w:rsidRPr="00AA1CEF">
        <w:rPr>
          <w:rFonts w:eastAsia="Times New Roman"/>
          <w:b/>
          <w:bCs/>
        </w:rPr>
        <w:t xml:space="preserve"> paperwork</w:t>
      </w:r>
      <w:r w:rsidR="00AA1CEF">
        <w:rPr>
          <w:rFonts w:eastAsia="Times New Roman"/>
          <w:b/>
          <w:bCs/>
        </w:rPr>
        <w:t xml:space="preserve"> be billable under SC15</w:t>
      </w:r>
      <w:r w:rsidRPr="00AA1CEF">
        <w:rPr>
          <w:rFonts w:eastAsia="Times New Roman"/>
          <w:b/>
          <w:bCs/>
        </w:rPr>
        <w:t>?</w:t>
      </w:r>
    </w:p>
    <w:p w14:paraId="300D1287" w14:textId="52CA6DDF" w:rsidR="0090390B" w:rsidRDefault="0090390B" w:rsidP="002F7E22">
      <w:pPr>
        <w:spacing w:after="0"/>
        <w:ind w:left="720"/>
        <w:rPr>
          <w:rFonts w:eastAsia="Times New Roman"/>
        </w:rPr>
      </w:pPr>
      <w:r w:rsidRPr="0090390B">
        <w:rPr>
          <w:rFonts w:eastAsia="Times New Roman"/>
          <w:b/>
          <w:bCs/>
        </w:rPr>
        <w:t>A7:</w:t>
      </w:r>
      <w:r>
        <w:rPr>
          <w:rFonts w:eastAsia="Times New Roman"/>
        </w:rPr>
        <w:t xml:space="preserve">  It depends.  If there is a clinical element to the task, it could be billable provided that the documentation clearly shows how it </w:t>
      </w:r>
      <w:r w:rsidR="00FB6B7F">
        <w:rPr>
          <w:rFonts w:eastAsia="Times New Roman"/>
        </w:rPr>
        <w:t xml:space="preserve">ties </w:t>
      </w:r>
      <w:r w:rsidR="003D59CC">
        <w:rPr>
          <w:rFonts w:eastAsia="Times New Roman"/>
        </w:rPr>
        <w:t>back</w:t>
      </w:r>
      <w:r w:rsidR="00FB6B7F">
        <w:rPr>
          <w:rFonts w:eastAsia="Times New Roman"/>
        </w:rPr>
        <w:t xml:space="preserve"> to the treatment plan</w:t>
      </w:r>
      <w:r>
        <w:rPr>
          <w:rFonts w:eastAsia="Times New Roman"/>
        </w:rPr>
        <w:t xml:space="preserve">.  Other aspects of </w:t>
      </w:r>
      <w:r w:rsidR="00AA1CEF">
        <w:rPr>
          <w:rFonts w:eastAsia="Times New Roman"/>
        </w:rPr>
        <w:t>SSI/GR/</w:t>
      </w:r>
      <w:proofErr w:type="spellStart"/>
      <w:r w:rsidR="00AA1CEF">
        <w:rPr>
          <w:rFonts w:eastAsia="Times New Roman"/>
        </w:rPr>
        <w:t>Calfresh</w:t>
      </w:r>
      <w:proofErr w:type="spellEnd"/>
      <w:r>
        <w:rPr>
          <w:rFonts w:eastAsia="Times New Roman"/>
        </w:rPr>
        <w:t xml:space="preserve"> paperwork may be administrative and should be excluded from service time.  If providers are unsure if a particular service is billable or for documentation questions, they can</w:t>
      </w:r>
      <w:r>
        <w:rPr>
          <w:rFonts w:eastAsia="Times New Roman"/>
          <w:b/>
          <w:bCs/>
        </w:rPr>
        <w:t xml:space="preserve"> </w:t>
      </w:r>
      <w:r w:rsidRPr="002F7E22">
        <w:rPr>
          <w:rFonts w:eastAsia="Times New Roman"/>
        </w:rPr>
        <w:t>reach out to QI Matters for clarification.</w:t>
      </w:r>
    </w:p>
    <w:p w14:paraId="77344BCF" w14:textId="153DEF16" w:rsidR="00AA1CEF" w:rsidRDefault="00AA1CEF" w:rsidP="00AA1CEF">
      <w:pPr>
        <w:spacing w:after="0"/>
        <w:rPr>
          <w:rFonts w:eastAsia="Times New Roman"/>
          <w:b/>
          <w:bCs/>
        </w:rPr>
      </w:pPr>
    </w:p>
    <w:p w14:paraId="0B237182" w14:textId="26C182EA" w:rsidR="00667E1D" w:rsidRDefault="00FB6B7F" w:rsidP="00FB6B7F">
      <w:pPr>
        <w:spacing w:after="0"/>
        <w:ind w:firstLine="720"/>
        <w:rPr>
          <w:rFonts w:eastAsia="Times New Roman"/>
          <w:b/>
          <w:bCs/>
        </w:rPr>
      </w:pPr>
      <w:r w:rsidRPr="0030416D">
        <w:rPr>
          <w:rFonts w:eastAsia="Times New Roman"/>
          <w:b/>
          <w:bCs/>
        </w:rPr>
        <w:t xml:space="preserve">Q8:  </w:t>
      </w:r>
      <w:r w:rsidR="00667E1D" w:rsidRPr="0030416D">
        <w:rPr>
          <w:rFonts w:eastAsia="Times New Roman"/>
          <w:b/>
          <w:bCs/>
        </w:rPr>
        <w:t xml:space="preserve">Can </w:t>
      </w:r>
      <w:r w:rsidRPr="0030416D">
        <w:rPr>
          <w:rFonts w:eastAsia="Times New Roman"/>
          <w:b/>
          <w:bCs/>
        </w:rPr>
        <w:t xml:space="preserve">preparation of </w:t>
      </w:r>
      <w:r w:rsidR="00667E1D" w:rsidRPr="0030416D">
        <w:rPr>
          <w:rFonts w:eastAsia="Times New Roman"/>
          <w:b/>
          <w:bCs/>
        </w:rPr>
        <w:t>legal reports</w:t>
      </w:r>
      <w:r w:rsidRPr="0030416D">
        <w:rPr>
          <w:rFonts w:eastAsia="Times New Roman"/>
          <w:b/>
          <w:bCs/>
        </w:rPr>
        <w:t xml:space="preserve"> be billable under SC15?</w:t>
      </w:r>
    </w:p>
    <w:p w14:paraId="0409E85A" w14:textId="0AA7DB11" w:rsidR="00667E1D" w:rsidRPr="00FB6B7F" w:rsidRDefault="00FB6B7F" w:rsidP="00AA1CEF">
      <w:pPr>
        <w:spacing w:after="0"/>
        <w:rPr>
          <w:rFonts w:eastAsia="Times New Roman"/>
        </w:rPr>
      </w:pPr>
      <w:r>
        <w:rPr>
          <w:rFonts w:eastAsia="Times New Roman"/>
          <w:b/>
          <w:bCs/>
        </w:rPr>
        <w:tab/>
        <w:t xml:space="preserve">A8:  </w:t>
      </w:r>
      <w:r>
        <w:rPr>
          <w:rFonts w:eastAsia="Times New Roman"/>
        </w:rPr>
        <w:t xml:space="preserve">No, </w:t>
      </w:r>
      <w:r w:rsidR="00EA7AF7">
        <w:rPr>
          <w:rFonts w:eastAsia="Times New Roman"/>
        </w:rPr>
        <w:t>this would not be a billable service under SC15.</w:t>
      </w:r>
    </w:p>
    <w:p w14:paraId="2A8040AD" w14:textId="5E8481D8" w:rsidR="00667E1D" w:rsidRDefault="00667E1D" w:rsidP="00AA1CEF">
      <w:pPr>
        <w:spacing w:after="0"/>
        <w:rPr>
          <w:rFonts w:eastAsia="Times New Roman"/>
          <w:b/>
          <w:bCs/>
        </w:rPr>
      </w:pPr>
    </w:p>
    <w:p w14:paraId="1C76317C" w14:textId="77777777" w:rsidR="00AD77E2" w:rsidRDefault="00AD77E2" w:rsidP="00AA1CEF">
      <w:pPr>
        <w:spacing w:after="0"/>
        <w:rPr>
          <w:rFonts w:eastAsia="Times New Roman"/>
          <w:b/>
          <w:bCs/>
        </w:rPr>
      </w:pPr>
    </w:p>
    <w:p w14:paraId="462D32F6" w14:textId="77777777" w:rsidR="00AA1CEF" w:rsidRPr="00AD77E2" w:rsidRDefault="00AA1CEF" w:rsidP="00AA1CEF">
      <w:pPr>
        <w:rPr>
          <w:b/>
          <w:bCs/>
          <w:i/>
          <w:iCs/>
          <w:u w:val="single"/>
        </w:rPr>
      </w:pPr>
      <w:r w:rsidRPr="00AD77E2">
        <w:rPr>
          <w:b/>
          <w:bCs/>
          <w:i/>
          <w:iCs/>
          <w:u w:val="single"/>
        </w:rPr>
        <w:t>Service Code 20 Documentation</w:t>
      </w:r>
    </w:p>
    <w:p w14:paraId="1E657CC8" w14:textId="77777777" w:rsidR="00FA0DD4" w:rsidRPr="0056638D" w:rsidRDefault="00FA0DD4" w:rsidP="00FA0DD4">
      <w:pPr>
        <w:spacing w:line="240" w:lineRule="auto"/>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38D">
        <w:rPr>
          <w:rFonts w:eastAsia="Times New Roman"/>
          <w:b/>
          <w:bCs/>
        </w:rPr>
        <w:t>Q:</w:t>
      </w:r>
      <w:r w:rsidRPr="0056638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SC20 be used to capture time for completing TARs to submit to the pharmacy and discussion with the pharmacy about a TAR? </w:t>
      </w:r>
    </w:p>
    <w:p w14:paraId="6D4AB4E9" w14:textId="20993E14" w:rsidR="00FA0DD4" w:rsidRPr="009152D8" w:rsidRDefault="00FA0DD4" w:rsidP="009152D8">
      <w:pPr>
        <w:spacing w:line="240" w:lineRule="auto"/>
        <w:ind w:left="720"/>
        <w:rPr>
          <w:rFonts w:ascii="Calibri" w:eastAsia="Times New Roman"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38D">
        <w:rPr>
          <w:rFonts w:eastAsia="Times New Roman"/>
          <w:b/>
          <w:bCs/>
        </w:rPr>
        <w:t>A:</w:t>
      </w:r>
      <w:r w:rsidRPr="0078383B">
        <w:rPr>
          <w:rFonts w:ascii="Calibri" w:eastAsia="Times New Roman"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SC20 can be utilized when completing a TAR as this contains informatio</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78383B">
        <w:rPr>
          <w:rFonts w:eastAsia="Times New Roman"/>
        </w:rPr>
        <w:t xml:space="preserve"> </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relevant to the client’s history and need for medications. </w:t>
      </w:r>
      <w:proofErr w:type="gramStart"/>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order to</w:t>
      </w:r>
      <w:proofErr w:type="gramEnd"/>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billable, t</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progress </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must </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 a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ption of</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information included in the TAR</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how it ties back to the client plan.</w:t>
      </w:r>
    </w:p>
    <w:p w14:paraId="4F08D12C" w14:textId="5B292AFE" w:rsidR="00AA1CEF" w:rsidRPr="0078383B" w:rsidRDefault="00AA1CEF" w:rsidP="00AA1CEF">
      <w:p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83B">
        <w:rPr>
          <w:rFonts w:eastAsia="Times New Roman"/>
          <w:b/>
          <w:bCs/>
        </w:rPr>
        <w:t>Q:</w:t>
      </w:r>
      <w:r w:rsidRPr="0078383B">
        <w:rPr>
          <w:rFonts w:eastAsia="Times New Roman"/>
        </w:rPr>
        <w:t xml:space="preserve"> </w:t>
      </w:r>
      <w:r w:rsidRPr="009152D8">
        <w:rPr>
          <w:rFonts w:eastAsia="Times New Roman"/>
          <w:b/>
          <w:bCs/>
        </w:rPr>
        <w:t xml:space="preserve">What are the documentation standards for the narrative section of SC20 progress notes? </w:t>
      </w:r>
    </w:p>
    <w:p w14:paraId="204D5B9B" w14:textId="5F81A0F9" w:rsidR="00AA1CEF" w:rsidRDefault="00AA1CEF" w:rsidP="0089621C">
      <w:pPr>
        <w:spacing w:line="240" w:lineRule="auto"/>
        <w:ind w:left="72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83B">
        <w:rPr>
          <w:rFonts w:eastAsia="Times New Roman"/>
          <w:b/>
          <w:bCs/>
        </w:rPr>
        <w:t>A:</w:t>
      </w:r>
      <w:r>
        <w:rPr>
          <w:rFonts w:eastAsia="Times New Roman"/>
          <w:b/>
          <w:bCs/>
        </w:rPr>
        <w:t xml:space="preserve">  The</w:t>
      </w:r>
      <w:r w:rsidRPr="0078383B">
        <w:rPr>
          <w:rFonts w:eastAsia="Times New Roman"/>
        </w:rPr>
        <w:t xml:space="preserve"> </w:t>
      </w:r>
      <w:r w:rsidRPr="00BF6652">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Nursing Note template</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is found on</w:t>
      </w:r>
      <w:r w:rsidRPr="00BF6652">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CCBH</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prompts for</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 elements for</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SC20 note</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Although it is not required to use template and a “free flowing text” progress note can be used, the “free flowing text” progress note should still speak to the required elements.</w:t>
      </w:r>
      <w:r>
        <w:rPr>
          <w:rFonts w:ascii="Calibri" w:eastAsia="Times New Roman"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BFFBE2" w14:textId="77777777" w:rsidR="00AA1CEF" w:rsidRDefault="00AA1CEF" w:rsidP="00AA1CEF">
      <w:pPr>
        <w:spacing w:after="0" w:line="240" w:lineRule="auto"/>
        <w:ind w:left="72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for which SC20 can be</w:t>
      </w:r>
      <w:r w:rsidRPr="0078383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include:</w:t>
      </w:r>
    </w:p>
    <w:p w14:paraId="2A2EFE3F" w14:textId="0A08158E" w:rsidR="00AA1CEF" w:rsidRDefault="00AA1CEF" w:rsidP="00AA1CEF">
      <w:pPr>
        <w:pStyle w:val="ListParagraph"/>
        <w:numPr>
          <w:ilvl w:val="3"/>
          <w:numId w:val="5"/>
        </w:numPr>
        <w:ind w:left="148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F2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Prescription refills or</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F2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speaking with pharmacy.  </w:t>
      </w:r>
    </w:p>
    <w:p w14:paraId="67DC7500" w14:textId="2B5C99ED" w:rsidR="00AA1CEF" w:rsidRPr="00165F2A" w:rsidRDefault="00AA1CEF" w:rsidP="00AA1CEF">
      <w:pPr>
        <w:pStyle w:val="ListParagraph"/>
        <w:numPr>
          <w:ilvl w:val="3"/>
          <w:numId w:val="5"/>
        </w:numPr>
        <w:ind w:left="148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Completing TARs (please see the question </w:t>
      </w:r>
      <w:r w:rsidR="00FA0DD4">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 more detailed explanation</w:t>
      </w:r>
      <w:r w:rsidR="00096378">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 TARs</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DD4">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817119" w14:textId="053A7C52" w:rsidR="00AA1CEF" w:rsidRPr="002E6599" w:rsidRDefault="00AA1CEF" w:rsidP="00AA1CEF">
      <w:pPr>
        <w:pStyle w:val="ListParagraph"/>
        <w:numPr>
          <w:ilvl w:val="0"/>
          <w:numId w:val="5"/>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SC20 can be used for reviewing of labs provided that the documentation includes the reason for service and how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labs tie into </w:t>
      </w:r>
      <w:r w:rsidR="00BF6652">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C65CE">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w:t>
      </w:r>
      <w:r w:rsidR="00BF6652">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 health treatment</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t>
      </w: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service time should equal the time</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took</w:t>
      </w: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review</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Pr="0016563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labs.</w:t>
      </w:r>
    </w:p>
    <w:p w14:paraId="73DC755D" w14:textId="77777777" w:rsidR="00AA1CEF" w:rsidRPr="00165630" w:rsidRDefault="00AA1CEF" w:rsidP="00AA1CEF">
      <w:pPr>
        <w:pStyle w:val="ListParagraph"/>
        <w:ind w:left="149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7B95A1" w14:textId="4A3D4426" w:rsidR="00AA1CEF" w:rsidRPr="0030416D" w:rsidRDefault="00AA1CEF" w:rsidP="004B5506">
      <w:pPr>
        <w:spacing w:line="240" w:lineRule="auto"/>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 </w:t>
      </w:r>
      <w:r w:rsidR="0056638D"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you please provide clarification about billing </w:t>
      </w:r>
      <w:r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SC20 for </w:t>
      </w:r>
      <w:r w:rsidR="0056638D"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MD staff vs. Nursing staff</w:t>
      </w:r>
      <w:r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insurance of client (Medicare vs Medi-Cal) and degree of person able to provide the service</w:t>
      </w:r>
      <w:r w:rsidR="0056638D"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F03BA7" w14:textId="71F5D9CB" w:rsidR="00AA1CEF" w:rsidRPr="00A9457C" w:rsidRDefault="00AA1CEF" w:rsidP="00A9457C">
      <w:pPr>
        <w:spacing w:line="240" w:lineRule="auto"/>
        <w:ind w:left="720"/>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16D">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30416D">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refer to CMS guidelines for specifics on Medicare billing (some nursing services may not be billable</w:t>
      </w:r>
      <w:r w:rsidR="00205247" w:rsidRPr="0030416D">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 Medicare</w:t>
      </w:r>
      <w:r w:rsidRPr="0030416D">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Medi-Cal, SC20 can be billed by the following degree types:  RN, PHARMD, Nurse Practitioner, LVN, Physician Assistant, MD Trainee, LPT, MD, and DO.</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9E7AC4" w14:textId="77777777" w:rsidR="00F061E3" w:rsidRPr="00E74B06" w:rsidRDefault="00F061E3" w:rsidP="00F061E3">
      <w:pPr>
        <w:pStyle w:val="ListParagraph"/>
        <w:ind w:firstLine="720"/>
        <w:rPr>
          <w:rFonts w:eastAsia="Times New Roman"/>
          <w:b/>
          <w:bCs/>
        </w:rPr>
      </w:pPr>
    </w:p>
    <w:p w14:paraId="5AC613C2" w14:textId="139C534D" w:rsidR="000B4F93" w:rsidRPr="00205247" w:rsidRDefault="00205247" w:rsidP="004B5506">
      <w:pPr>
        <w:spacing w:line="240" w:lineRule="auto"/>
        <w:rPr>
          <w:rFonts w:eastAsia="Times New Roman"/>
          <w:b/>
          <w:bCs/>
        </w:rPr>
      </w:pPr>
      <w:r w:rsidRPr="00205247">
        <w:rPr>
          <w:rFonts w:eastAsia="Times New Roman"/>
          <w:b/>
          <w:bCs/>
        </w:rPr>
        <w:t>Q:  Can the</w:t>
      </w:r>
      <w:r w:rsidR="000B4F93" w:rsidRPr="00205247">
        <w:rPr>
          <w:rFonts w:eastAsia="Times New Roman"/>
          <w:b/>
          <w:bCs/>
        </w:rPr>
        <w:t xml:space="preserve"> time for the time it takes to enter Rx</w:t>
      </w:r>
      <w:r w:rsidR="00BF6652">
        <w:rPr>
          <w:rFonts w:eastAsia="Times New Roman"/>
          <w:b/>
          <w:bCs/>
        </w:rPr>
        <w:t>’</w:t>
      </w:r>
      <w:r w:rsidR="000B4F93" w:rsidRPr="00205247">
        <w:rPr>
          <w:rFonts w:eastAsia="Times New Roman"/>
          <w:b/>
          <w:bCs/>
        </w:rPr>
        <w:t xml:space="preserve">s in the electronic </w:t>
      </w:r>
      <w:r w:rsidR="00463361" w:rsidRPr="00205247">
        <w:rPr>
          <w:rFonts w:eastAsia="Times New Roman"/>
          <w:b/>
          <w:bCs/>
        </w:rPr>
        <w:t>prescriber</w:t>
      </w:r>
      <w:r w:rsidRPr="00205247">
        <w:rPr>
          <w:rFonts w:eastAsia="Times New Roman"/>
          <w:b/>
          <w:bCs/>
        </w:rPr>
        <w:t xml:space="preserve"> be billable</w:t>
      </w:r>
      <w:r w:rsidR="00463361" w:rsidRPr="00205247">
        <w:rPr>
          <w:rFonts w:eastAsia="Times New Roman"/>
          <w:b/>
          <w:bCs/>
        </w:rPr>
        <w:t xml:space="preserve"> </w:t>
      </w:r>
      <w:r w:rsidR="004B5506">
        <w:rPr>
          <w:rFonts w:eastAsia="Times New Roman"/>
          <w:b/>
          <w:bCs/>
        </w:rPr>
        <w:t xml:space="preserve">under SC20 </w:t>
      </w:r>
      <w:r w:rsidR="00463361" w:rsidRPr="00205247">
        <w:rPr>
          <w:rFonts w:eastAsia="Times New Roman"/>
          <w:b/>
          <w:bCs/>
        </w:rPr>
        <w:t>and</w:t>
      </w:r>
      <w:r w:rsidR="000B4F93" w:rsidRPr="00205247">
        <w:rPr>
          <w:rFonts w:eastAsia="Times New Roman"/>
          <w:b/>
          <w:bCs/>
        </w:rPr>
        <w:t xml:space="preserve"> </w:t>
      </w:r>
      <w:r w:rsidRPr="00205247">
        <w:rPr>
          <w:rFonts w:eastAsia="Times New Roman"/>
          <w:b/>
          <w:bCs/>
        </w:rPr>
        <w:t xml:space="preserve">would </w:t>
      </w:r>
      <w:r w:rsidR="000B4F93" w:rsidRPr="00205247">
        <w:rPr>
          <w:rFonts w:eastAsia="Times New Roman"/>
          <w:b/>
          <w:bCs/>
        </w:rPr>
        <w:t>that time be added to the time for a</w:t>
      </w:r>
      <w:r w:rsidR="004B5506">
        <w:rPr>
          <w:rFonts w:eastAsia="Times New Roman"/>
          <w:b/>
          <w:bCs/>
        </w:rPr>
        <w:t xml:space="preserve"> psychiatric medication</w:t>
      </w:r>
      <w:r w:rsidR="000B4F93" w:rsidRPr="00205247">
        <w:rPr>
          <w:rFonts w:eastAsia="Times New Roman"/>
          <w:b/>
          <w:bCs/>
        </w:rPr>
        <w:t xml:space="preserve"> </w:t>
      </w:r>
      <w:r w:rsidR="004B5506">
        <w:rPr>
          <w:rFonts w:eastAsia="Times New Roman"/>
          <w:b/>
          <w:bCs/>
        </w:rPr>
        <w:t>follow-up</w:t>
      </w:r>
      <w:r w:rsidR="000B4F93" w:rsidRPr="00205247">
        <w:rPr>
          <w:rFonts w:eastAsia="Times New Roman"/>
          <w:b/>
          <w:bCs/>
        </w:rPr>
        <w:t xml:space="preserve"> appointment progress note</w:t>
      </w:r>
      <w:r w:rsidRPr="00205247">
        <w:rPr>
          <w:rFonts w:eastAsia="Times New Roman"/>
          <w:b/>
          <w:bCs/>
        </w:rPr>
        <w:t>?</w:t>
      </w:r>
    </w:p>
    <w:p w14:paraId="235B8EC8" w14:textId="321C3960" w:rsidR="00226F01" w:rsidRPr="00205247" w:rsidRDefault="00205247" w:rsidP="00205247">
      <w:pPr>
        <w:pStyle w:val="ListParagraph"/>
        <w:rPr>
          <w:rFonts w:eastAsia="Times New Roman"/>
        </w:rPr>
      </w:pPr>
      <w:r w:rsidRPr="00205247">
        <w:rPr>
          <w:rFonts w:eastAsia="Times New Roman"/>
          <w:b/>
          <w:bCs/>
        </w:rPr>
        <w:t>A:</w:t>
      </w:r>
      <w:r>
        <w:rPr>
          <w:rFonts w:eastAsia="Times New Roman"/>
        </w:rPr>
        <w:t xml:space="preserve">  </w:t>
      </w:r>
      <w:r w:rsidR="00DD6F93" w:rsidRPr="00205247">
        <w:rPr>
          <w:rFonts w:eastAsia="Times New Roman"/>
        </w:rPr>
        <w:t>T</w:t>
      </w:r>
      <w:r>
        <w:rPr>
          <w:rFonts w:eastAsia="Times New Roman"/>
        </w:rPr>
        <w:t>he t</w:t>
      </w:r>
      <w:r w:rsidR="00DD6F93" w:rsidRPr="00205247">
        <w:rPr>
          <w:rFonts w:eastAsia="Times New Roman"/>
        </w:rPr>
        <w:t xml:space="preserve">ime </w:t>
      </w:r>
      <w:r>
        <w:rPr>
          <w:rFonts w:eastAsia="Times New Roman"/>
        </w:rPr>
        <w:t xml:space="preserve">it </w:t>
      </w:r>
      <w:r w:rsidR="00DD6F93" w:rsidRPr="00205247">
        <w:rPr>
          <w:rFonts w:eastAsia="Times New Roman"/>
        </w:rPr>
        <w:t xml:space="preserve">takes to submit </w:t>
      </w:r>
      <w:r>
        <w:rPr>
          <w:rFonts w:eastAsia="Times New Roman"/>
        </w:rPr>
        <w:t xml:space="preserve">the </w:t>
      </w:r>
      <w:r w:rsidR="00DD6F93" w:rsidRPr="00205247">
        <w:rPr>
          <w:rFonts w:eastAsia="Times New Roman"/>
        </w:rPr>
        <w:t>Rx</w:t>
      </w:r>
      <w:r>
        <w:rPr>
          <w:rFonts w:eastAsia="Times New Roman"/>
        </w:rPr>
        <w:t xml:space="preserve"> in the electronic prescriber</w:t>
      </w:r>
      <w:r w:rsidR="00DD6F93" w:rsidRPr="00205247">
        <w:rPr>
          <w:rFonts w:eastAsia="Times New Roman"/>
        </w:rPr>
        <w:t xml:space="preserve"> can be added to the </w:t>
      </w:r>
      <w:r w:rsidR="00226F01" w:rsidRPr="00205247">
        <w:rPr>
          <w:rFonts w:eastAsia="Times New Roman"/>
        </w:rPr>
        <w:t>direct service of the medication follow-up services being provided</w:t>
      </w:r>
      <w:r>
        <w:rPr>
          <w:rFonts w:eastAsia="Times New Roman"/>
        </w:rPr>
        <w:t xml:space="preserve"> and a comment should be added, such as</w:t>
      </w:r>
      <w:r w:rsidR="00226F01" w:rsidRPr="00205247">
        <w:rPr>
          <w:rFonts w:eastAsia="Times New Roman"/>
        </w:rPr>
        <w:t xml:space="preserve"> </w:t>
      </w:r>
      <w:r w:rsidR="007424D0" w:rsidRPr="00205247">
        <w:rPr>
          <w:rFonts w:eastAsia="Times New Roman"/>
        </w:rPr>
        <w:t>“X amount of time for RX input in CCBH”</w:t>
      </w:r>
      <w:r>
        <w:rPr>
          <w:rFonts w:eastAsia="Times New Roman"/>
        </w:rPr>
        <w:t>.</w:t>
      </w:r>
    </w:p>
    <w:p w14:paraId="603C43ED" w14:textId="77777777" w:rsidR="00B61F5A" w:rsidRDefault="00B61F5A" w:rsidP="00B61F5A">
      <w:pPr>
        <w:pStyle w:val="ListParagraph"/>
        <w:rPr>
          <w:rFonts w:eastAsia="Times New Roman"/>
        </w:rPr>
      </w:pPr>
    </w:p>
    <w:p w14:paraId="4460A1A8" w14:textId="77777777" w:rsidR="0075130F" w:rsidRPr="0024089F" w:rsidRDefault="0075130F" w:rsidP="00696DE9">
      <w:pPr>
        <w:spacing w:after="0" w:line="240" w:lineRule="auto"/>
        <w:rPr>
          <w:rFonts w:eastAsia="Times New Roman"/>
          <w:b/>
          <w:bCs/>
        </w:rPr>
      </w:pPr>
    </w:p>
    <w:p w14:paraId="33EA4C52" w14:textId="3E7EA3E8" w:rsidR="00096378" w:rsidRPr="00AD77E2" w:rsidRDefault="00BF6652" w:rsidP="00096378">
      <w:pPr>
        <w:rPr>
          <w:rFonts w:eastAsia="Times New Roman"/>
          <w:b/>
          <w:bCs/>
          <w:i/>
          <w:iCs/>
        </w:rPr>
      </w:pPr>
      <w:r w:rsidRPr="00AD77E2">
        <w:rPr>
          <w:rFonts w:eastAsia="Times New Roman"/>
          <w:b/>
          <w:bCs/>
          <w:i/>
          <w:iCs/>
          <w:u w:val="single"/>
        </w:rPr>
        <w:t>Doctor’s Home Page (DHP) Questions</w:t>
      </w:r>
    </w:p>
    <w:p w14:paraId="247F63B3" w14:textId="1923A78C" w:rsidR="00E45A3B" w:rsidRPr="00096378" w:rsidRDefault="00E45A3B" w:rsidP="00096378">
      <w:pPr>
        <w:spacing w:line="240" w:lineRule="auto"/>
        <w:rPr>
          <w:rFonts w:eastAsia="Times New Roman"/>
          <w:b/>
          <w:bCs/>
          <w:color w:val="000000"/>
        </w:rPr>
      </w:pPr>
      <w:r w:rsidRPr="00E82065">
        <w:rPr>
          <w:rFonts w:eastAsia="Times New Roman"/>
          <w:b/>
          <w:bCs/>
          <w:color w:val="000000"/>
        </w:rPr>
        <w:t xml:space="preserve">Q:  </w:t>
      </w:r>
      <w:r w:rsidR="000B4F93" w:rsidRPr="00E82065">
        <w:rPr>
          <w:rFonts w:eastAsia="Times New Roman"/>
          <w:b/>
          <w:bCs/>
          <w:color w:val="000000"/>
        </w:rPr>
        <w:t xml:space="preserve">Will programs be penalized for not using DHP to enter vitals due to social distancing and vitals not being taken at every </w:t>
      </w:r>
      <w:r w:rsidR="00B06250" w:rsidRPr="00E82065">
        <w:rPr>
          <w:rFonts w:eastAsia="Times New Roman"/>
          <w:b/>
          <w:bCs/>
          <w:color w:val="000000"/>
        </w:rPr>
        <w:t>Nursing/Provider</w:t>
      </w:r>
      <w:r w:rsidR="000B4F93" w:rsidRPr="00E82065">
        <w:rPr>
          <w:rFonts w:eastAsia="Times New Roman"/>
          <w:b/>
          <w:bCs/>
          <w:color w:val="000000"/>
        </w:rPr>
        <w:t xml:space="preserve"> appointment?</w:t>
      </w:r>
      <w:r w:rsidR="000B4F93" w:rsidRPr="00E45A3B">
        <w:rPr>
          <w:rFonts w:eastAsia="Times New Roman"/>
          <w:b/>
          <w:bCs/>
          <w:color w:val="000000"/>
        </w:rPr>
        <w:t xml:space="preserve"> </w:t>
      </w:r>
    </w:p>
    <w:p w14:paraId="1ED4499E" w14:textId="600A410A" w:rsidR="00981F63" w:rsidRDefault="00DB6001" w:rsidP="007118AB">
      <w:pPr>
        <w:pStyle w:val="ListParagraph"/>
        <w:numPr>
          <w:ilvl w:val="0"/>
          <w:numId w:val="19"/>
        </w:numPr>
        <w:ind w:left="1080"/>
      </w:pPr>
      <w:r>
        <w:t>All attempts should be made to obtain vitals</w:t>
      </w:r>
      <w:r w:rsidR="00B06250">
        <w:t>.  In instances where they are not checked, the documentation should reflect this as well as how the</w:t>
      </w:r>
      <w:r w:rsidR="007C0F39">
        <w:t xml:space="preserve"> client’s</w:t>
      </w:r>
      <w:r w:rsidR="00B06250">
        <w:t xml:space="preserve"> vitals are being monitored and </w:t>
      </w:r>
      <w:r w:rsidR="007C0F39">
        <w:t xml:space="preserve">how </w:t>
      </w:r>
      <w:r w:rsidR="00B06250">
        <w:t xml:space="preserve">risk related to medication safety is being addressed. </w:t>
      </w:r>
      <w:r>
        <w:t xml:space="preserve"> In addition, if</w:t>
      </w:r>
      <w:r w:rsidR="00B06250">
        <w:t xml:space="preserve"> there are</w:t>
      </w:r>
      <w:r>
        <w:t xml:space="preserve"> follow up appointments </w:t>
      </w:r>
      <w:r w:rsidR="00B06250">
        <w:t xml:space="preserve">in which </w:t>
      </w:r>
      <w:r>
        <w:t>the client was present at the clinic</w:t>
      </w:r>
      <w:r w:rsidR="00B06250">
        <w:t xml:space="preserve"> (or Nursing/Provider staff met with client face-to-face)</w:t>
      </w:r>
      <w:r>
        <w:t xml:space="preserve"> and vitals are still not being completed, this could potentially be marked out.</w:t>
      </w:r>
    </w:p>
    <w:p w14:paraId="0EF0AF46" w14:textId="77777777" w:rsidR="00B06250" w:rsidRDefault="00B06250" w:rsidP="00B06250">
      <w:pPr>
        <w:pStyle w:val="ListParagraph"/>
      </w:pPr>
    </w:p>
    <w:p w14:paraId="213B90A9" w14:textId="4BE036AA" w:rsidR="00E45A3B" w:rsidRDefault="00E45A3B" w:rsidP="00E45A3B">
      <w:pPr>
        <w:rPr>
          <w:rFonts w:eastAsia="Times New Roman"/>
          <w:b/>
          <w:bCs/>
        </w:rPr>
      </w:pPr>
      <w:r>
        <w:rPr>
          <w:rFonts w:eastAsia="Times New Roman"/>
          <w:b/>
          <w:bCs/>
        </w:rPr>
        <w:t xml:space="preserve">Q:  </w:t>
      </w:r>
      <w:r w:rsidR="00981F63" w:rsidRPr="00E45A3B">
        <w:rPr>
          <w:rFonts w:eastAsia="Times New Roman"/>
          <w:b/>
          <w:bCs/>
        </w:rPr>
        <w:t>What is required of</w:t>
      </w:r>
      <w:r w:rsidR="00553454">
        <w:rPr>
          <w:rFonts w:eastAsia="Times New Roman"/>
          <w:b/>
          <w:bCs/>
        </w:rPr>
        <w:t xml:space="preserve"> Nursing/Psychiatric</w:t>
      </w:r>
      <w:r w:rsidR="00981F63" w:rsidRPr="00E45A3B">
        <w:rPr>
          <w:rFonts w:eastAsia="Times New Roman"/>
          <w:b/>
          <w:bCs/>
        </w:rPr>
        <w:t xml:space="preserve"> staff when using DHP?</w:t>
      </w:r>
    </w:p>
    <w:p w14:paraId="2084D497" w14:textId="63FAF1A7" w:rsidR="00981F63" w:rsidRPr="00553454" w:rsidRDefault="00DB6001" w:rsidP="007118AB">
      <w:pPr>
        <w:pStyle w:val="ListParagraph"/>
        <w:numPr>
          <w:ilvl w:val="0"/>
          <w:numId w:val="11"/>
        </w:numPr>
        <w:ind w:left="1080"/>
        <w:rPr>
          <w:rStyle w:val="Hyperlink"/>
          <w:color w:val="auto"/>
          <w:u w:val="none"/>
        </w:rPr>
      </w:pPr>
      <w:r>
        <w:t xml:space="preserve">The memo regarding </w:t>
      </w:r>
      <w:r w:rsidR="00553454">
        <w:t>requirements</w:t>
      </w:r>
      <w:r>
        <w:t xml:space="preserve"> of DHP can be found on the Communications Tab on Optum as: </w:t>
      </w:r>
      <w:hyperlink r:id="rId8" w:tgtFrame="_blank" w:tooltip="QM_MEMO_DHP_4_14.pdf" w:history="1">
        <w:r>
          <w:rPr>
            <w:rStyle w:val="Hyperlink"/>
            <w:rFonts w:ascii="Arial" w:hAnsi="Arial" w:cs="Arial"/>
            <w:color w:val="316BBE"/>
            <w:sz w:val="21"/>
            <w:szCs w:val="21"/>
            <w:shd w:val="clear" w:color="auto" w:fill="FFFFFF"/>
          </w:rPr>
          <w:t>QM_MEMO_DHP_4_14.pdf </w:t>
        </w:r>
      </w:hyperlink>
    </w:p>
    <w:p w14:paraId="2D157573" w14:textId="77777777" w:rsidR="00553454" w:rsidRDefault="00553454" w:rsidP="00553454">
      <w:pPr>
        <w:pStyle w:val="ListParagraph"/>
      </w:pPr>
    </w:p>
    <w:p w14:paraId="22DC7136" w14:textId="6B8F4E1D" w:rsidR="00981F63" w:rsidRPr="00E45A3B" w:rsidRDefault="00E45A3B" w:rsidP="00E45A3B">
      <w:pPr>
        <w:rPr>
          <w:rFonts w:eastAsia="Times New Roman"/>
          <w:b/>
          <w:bCs/>
        </w:rPr>
      </w:pPr>
      <w:r>
        <w:rPr>
          <w:rFonts w:eastAsia="Times New Roman"/>
          <w:b/>
          <w:bCs/>
          <w:color w:val="000000"/>
        </w:rPr>
        <w:t>Q:</w:t>
      </w:r>
      <w:r w:rsidR="00553454">
        <w:rPr>
          <w:rFonts w:eastAsia="Times New Roman"/>
          <w:b/>
          <w:bCs/>
          <w:color w:val="000000"/>
        </w:rPr>
        <w:t xml:space="preserve"> </w:t>
      </w:r>
      <w:r>
        <w:rPr>
          <w:rFonts w:eastAsia="Times New Roman"/>
          <w:b/>
          <w:bCs/>
          <w:color w:val="000000"/>
        </w:rPr>
        <w:t xml:space="preserve"> </w:t>
      </w:r>
      <w:r w:rsidR="000B7B92">
        <w:rPr>
          <w:rFonts w:eastAsia="Times New Roman"/>
          <w:b/>
          <w:bCs/>
          <w:color w:val="000000"/>
        </w:rPr>
        <w:t>How can staff discontinue orders in DHP from previous providers in a way that is less time-consuming?</w:t>
      </w:r>
    </w:p>
    <w:p w14:paraId="3A8460A8" w14:textId="53D40A0B" w:rsidR="00981F63" w:rsidRDefault="00981F63" w:rsidP="007118AB">
      <w:pPr>
        <w:pStyle w:val="ListParagraph"/>
        <w:numPr>
          <w:ilvl w:val="0"/>
          <w:numId w:val="20"/>
        </w:numPr>
        <w:ind w:left="1080"/>
      </w:pPr>
      <w:r>
        <w:t>Prescriptions are automatically discontinued if there is an end date in the Sig Builder and the end date has passed.</w:t>
      </w:r>
    </w:p>
    <w:p w14:paraId="08922CDA" w14:textId="77777777" w:rsidR="003B60D7" w:rsidRDefault="003B60D7" w:rsidP="003B60D7">
      <w:pPr>
        <w:pStyle w:val="ListParagraph"/>
      </w:pPr>
    </w:p>
    <w:p w14:paraId="65E63665" w14:textId="6717D0A4" w:rsidR="00981F63" w:rsidRDefault="00981F63" w:rsidP="004B5506">
      <w:pPr>
        <w:ind w:left="720"/>
      </w:pPr>
      <w:r>
        <w:rPr>
          <w:noProof/>
        </w:rPr>
        <w:lastRenderedPageBreak/>
        <w:drawing>
          <wp:inline distT="0" distB="0" distL="0" distR="0" wp14:anchorId="519D6EAC" wp14:editId="4C877B8F">
            <wp:extent cx="5943600" cy="638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638810"/>
                    </a:xfrm>
                    <a:prstGeom prst="rect">
                      <a:avLst/>
                    </a:prstGeom>
                    <a:noFill/>
                    <a:ln>
                      <a:noFill/>
                    </a:ln>
                  </pic:spPr>
                </pic:pic>
              </a:graphicData>
            </a:graphic>
          </wp:inline>
        </w:drawing>
      </w:r>
    </w:p>
    <w:p w14:paraId="1E77404C" w14:textId="77777777" w:rsidR="00E45A3B" w:rsidRDefault="00E45A3B" w:rsidP="00BF6652">
      <w:pPr>
        <w:ind w:left="720"/>
      </w:pPr>
    </w:p>
    <w:p w14:paraId="5F07116B" w14:textId="36240241" w:rsidR="00981F63" w:rsidRDefault="00981F63" w:rsidP="00BF6652">
      <w:pPr>
        <w:ind w:left="720"/>
      </w:pPr>
      <w:r>
        <w:t>To view only the current medications, adjust the filter to “Include Current Medications only”.</w:t>
      </w:r>
    </w:p>
    <w:p w14:paraId="45171F14" w14:textId="4D455903" w:rsidR="00981F63" w:rsidRDefault="00981F63" w:rsidP="00E57D71">
      <w:pPr>
        <w:ind w:left="720"/>
      </w:pPr>
      <w:r>
        <w:rPr>
          <w:noProof/>
        </w:rPr>
        <w:drawing>
          <wp:inline distT="0" distB="0" distL="0" distR="0" wp14:anchorId="1FAB8DB5" wp14:editId="171C4D3E">
            <wp:extent cx="5632450" cy="3733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32450" cy="3733800"/>
                    </a:xfrm>
                    <a:prstGeom prst="rect">
                      <a:avLst/>
                    </a:prstGeom>
                    <a:noFill/>
                    <a:ln>
                      <a:noFill/>
                    </a:ln>
                  </pic:spPr>
                </pic:pic>
              </a:graphicData>
            </a:graphic>
          </wp:inline>
        </w:drawing>
      </w:r>
    </w:p>
    <w:p w14:paraId="31E7EAE8" w14:textId="77777777" w:rsidR="00E45A3B" w:rsidRDefault="00E45A3B" w:rsidP="00E45A3B"/>
    <w:p w14:paraId="4F88934C" w14:textId="6BB15FC9" w:rsidR="00BF6652" w:rsidRPr="00363226" w:rsidRDefault="00E45A3B" w:rsidP="00363226">
      <w:pPr>
        <w:rPr>
          <w:rFonts w:eastAsia="Times New Roman"/>
          <w:b/>
          <w:bCs/>
        </w:rPr>
      </w:pPr>
      <w:r w:rsidRPr="00E45A3B">
        <w:rPr>
          <w:b/>
          <w:bCs/>
        </w:rPr>
        <w:t>Q.</w:t>
      </w:r>
      <w:r w:rsidRPr="00E45A3B">
        <w:rPr>
          <w:rFonts w:eastAsia="Times New Roman"/>
          <w:b/>
          <w:bCs/>
          <w:color w:val="000000"/>
        </w:rPr>
        <w:t xml:space="preserve"> </w:t>
      </w:r>
      <w:r w:rsidR="000B7B92">
        <w:rPr>
          <w:rFonts w:eastAsia="Times New Roman"/>
          <w:b/>
          <w:bCs/>
          <w:color w:val="000000"/>
        </w:rPr>
        <w:t xml:space="preserve"> How can staff enter orders in DHP in a way that is user-friendly and less time-consuming?</w:t>
      </w:r>
    </w:p>
    <w:p w14:paraId="6CD07EDF" w14:textId="6A7DD4DB" w:rsidR="00981F63" w:rsidRDefault="00BF6652" w:rsidP="007118AB">
      <w:pPr>
        <w:pStyle w:val="ListParagraph"/>
        <w:numPr>
          <w:ilvl w:val="0"/>
          <w:numId w:val="14"/>
        </w:numPr>
        <w:ind w:left="1080"/>
      </w:pPr>
      <w:r>
        <w:t>Staff will</w:t>
      </w:r>
      <w:r w:rsidR="00981F63">
        <w:t xml:space="preserve"> build fluency over time after using the DHP product routinely. It’s possible that the DHP equivalent in Cerner Millennium will be an improvement over the CCBH DHP module. </w:t>
      </w:r>
    </w:p>
    <w:p w14:paraId="67F6C5C7" w14:textId="77777777" w:rsidR="00E45A3B" w:rsidRDefault="00E45A3B" w:rsidP="00E45A3B">
      <w:pPr>
        <w:rPr>
          <w:rFonts w:eastAsia="Times New Roman"/>
          <w:b/>
          <w:bCs/>
          <w:color w:val="000000"/>
        </w:rPr>
      </w:pPr>
    </w:p>
    <w:p w14:paraId="15A0253A" w14:textId="6926D44D" w:rsidR="00981F63" w:rsidRPr="00E45A3B" w:rsidRDefault="00E45A3B" w:rsidP="00E45A3B">
      <w:pPr>
        <w:rPr>
          <w:rFonts w:eastAsia="Times New Roman"/>
          <w:b/>
          <w:bCs/>
        </w:rPr>
      </w:pPr>
      <w:r>
        <w:rPr>
          <w:rFonts w:eastAsia="Times New Roman"/>
          <w:b/>
          <w:bCs/>
          <w:color w:val="000000"/>
        </w:rPr>
        <w:t xml:space="preserve">Q. </w:t>
      </w:r>
      <w:r w:rsidR="000B7B92">
        <w:rPr>
          <w:rFonts w:eastAsia="Times New Roman"/>
          <w:b/>
          <w:bCs/>
          <w:color w:val="000000"/>
        </w:rPr>
        <w:t xml:space="preserve">How can staff renew orders in DHP in a way that is user-friendly and less time-consuming? </w:t>
      </w:r>
    </w:p>
    <w:p w14:paraId="0EF46230" w14:textId="77777777" w:rsidR="00E45A3B" w:rsidRDefault="00E45A3B" w:rsidP="007118AB">
      <w:pPr>
        <w:pStyle w:val="ListParagraph"/>
        <w:numPr>
          <w:ilvl w:val="0"/>
          <w:numId w:val="16"/>
        </w:numPr>
        <w:ind w:left="1080"/>
      </w:pPr>
      <w:r>
        <w:t>The process for renewing a prescription in DHP can be found in several locations:</w:t>
      </w:r>
    </w:p>
    <w:p w14:paraId="6BAA731F" w14:textId="18ACB397" w:rsidR="00981F63" w:rsidRDefault="00E45A3B" w:rsidP="00E45A3B">
      <w:pPr>
        <w:pStyle w:val="ListParagraph"/>
        <w:numPr>
          <w:ilvl w:val="1"/>
          <w:numId w:val="16"/>
        </w:numPr>
      </w:pPr>
      <w:r>
        <w:t>It</w:t>
      </w:r>
      <w:r w:rsidR="00981F63">
        <w:t xml:space="preserve"> is explained </w:t>
      </w:r>
      <w:r>
        <w:t>on</w:t>
      </w:r>
      <w:r w:rsidR="00981F63">
        <w:t xml:space="preserve"> pages 68-70 in the Doctor’s Homepage Resource Packet: </w:t>
      </w:r>
      <w:hyperlink r:id="rId13" w:history="1">
        <w:r w:rsidR="00981F63">
          <w:rPr>
            <w:rStyle w:val="Hyperlink"/>
          </w:rPr>
          <w:t>Microsoft Word - DHP Resource Packet 07.2019 (optumsandiego.com)</w:t>
        </w:r>
      </w:hyperlink>
      <w:r w:rsidR="00981F63">
        <w:t>.</w:t>
      </w:r>
    </w:p>
    <w:p w14:paraId="37E9CF35" w14:textId="6F3B30F1" w:rsidR="00981F63" w:rsidRDefault="00981F63" w:rsidP="00F604E3">
      <w:pPr>
        <w:pStyle w:val="ListParagraph"/>
        <w:numPr>
          <w:ilvl w:val="0"/>
          <w:numId w:val="10"/>
        </w:numPr>
      </w:pPr>
      <w:r>
        <w:t xml:space="preserve">It is also illustrated in the DHP Orientation and Practice Exercises video tutorial from 21:02 – 23:35 </w:t>
      </w:r>
      <w:hyperlink r:id="rId14" w:history="1">
        <w:r>
          <w:rPr>
            <w:rStyle w:val="Hyperlink"/>
          </w:rPr>
          <w:t>DHP Orientation and Practice Exercises (optumsandiego.com)</w:t>
        </w:r>
      </w:hyperlink>
      <w:r>
        <w:t>.</w:t>
      </w:r>
    </w:p>
    <w:p w14:paraId="4CD1935F" w14:textId="77777777" w:rsidR="00F604E3" w:rsidRDefault="00F604E3" w:rsidP="00F604E3">
      <w:pPr>
        <w:pStyle w:val="ListParagraph"/>
        <w:ind w:left="1440"/>
      </w:pPr>
    </w:p>
    <w:p w14:paraId="029D21DC" w14:textId="67B11833" w:rsidR="003B60D7" w:rsidRDefault="00E45A3B" w:rsidP="003B60D7">
      <w:pPr>
        <w:rPr>
          <w:rFonts w:eastAsia="Times New Roman"/>
          <w:b/>
          <w:bCs/>
        </w:rPr>
      </w:pPr>
      <w:r>
        <w:rPr>
          <w:rFonts w:eastAsia="Times New Roman"/>
          <w:b/>
          <w:bCs/>
          <w:color w:val="000000"/>
        </w:rPr>
        <w:t xml:space="preserve">Q. </w:t>
      </w:r>
      <w:r w:rsidR="00024628" w:rsidRPr="00E45A3B">
        <w:rPr>
          <w:rFonts w:eastAsia="Times New Roman"/>
          <w:b/>
          <w:bCs/>
          <w:color w:val="000000"/>
        </w:rPr>
        <w:t xml:space="preserve">Is it reliable to send medication orders electronically to the pharmacy?  </w:t>
      </w:r>
    </w:p>
    <w:p w14:paraId="115C54DC" w14:textId="560013B1" w:rsidR="00981F63" w:rsidRDefault="003B60D7" w:rsidP="007118AB">
      <w:pPr>
        <w:spacing w:after="0" w:line="240" w:lineRule="auto"/>
        <w:ind w:left="1080" w:hanging="360"/>
      </w:pPr>
      <w:r w:rsidRPr="003B60D7">
        <w:rPr>
          <w:b/>
          <w:bCs/>
        </w:rPr>
        <w:lastRenderedPageBreak/>
        <w:t>A</w:t>
      </w:r>
      <w:r>
        <w:t xml:space="preserve">.  </w:t>
      </w:r>
      <w:r w:rsidR="00981F63">
        <w:t xml:space="preserve">Selecting the “Transmit” issue method (which means sending the prescription electronically to the client’s pharmacy) is encouraged, but it is not a requirement. “Called In”, “Handwritten”, and “Print” issue method options are also available based on your preference. For reference, on </w:t>
      </w:r>
      <w:r w:rsidR="00A1451C">
        <w:t>a recent date</w:t>
      </w:r>
      <w:r w:rsidR="00981F63">
        <w:t xml:space="preserve"> </w:t>
      </w:r>
      <w:r w:rsidR="00A1451C">
        <w:t>(</w:t>
      </w:r>
      <w:r w:rsidR="00981F63">
        <w:t>2/25/21</w:t>
      </w:r>
      <w:r w:rsidR="00A1451C">
        <w:t>)</w:t>
      </w:r>
      <w:r w:rsidR="00981F63">
        <w:t>, a total of 494 prescriptions were transmitted across our system of care</w:t>
      </w:r>
      <w:r w:rsidR="002933ED">
        <w:t xml:space="preserve"> </w:t>
      </w:r>
      <w:r w:rsidR="00981F63">
        <w:t xml:space="preserve">- a relatively high volume. The Optum Support Desk monitors the DHP Console, which displays the status of transmitted prescriptions. Transmission errors occur infrequently, but when they do occur, Optum Support Desk staff are quick to engage Cerner for troubleshooting.  </w:t>
      </w:r>
    </w:p>
    <w:p w14:paraId="66430925" w14:textId="77777777" w:rsidR="003B60D7" w:rsidRPr="003B60D7" w:rsidRDefault="003B60D7" w:rsidP="003B60D7">
      <w:pPr>
        <w:spacing w:after="0" w:line="240" w:lineRule="auto"/>
        <w:ind w:left="720" w:hanging="360"/>
        <w:rPr>
          <w:rFonts w:eastAsia="Times New Roman"/>
          <w:b/>
          <w:bCs/>
        </w:rPr>
      </w:pPr>
    </w:p>
    <w:p w14:paraId="32AE1712" w14:textId="2D064144" w:rsidR="00381CB6" w:rsidRPr="00E45A3B" w:rsidRDefault="00E45A3B" w:rsidP="00E45A3B">
      <w:pPr>
        <w:rPr>
          <w:rFonts w:eastAsia="Times New Roman"/>
          <w:b/>
          <w:bCs/>
        </w:rPr>
      </w:pPr>
      <w:r w:rsidRPr="00E45A3B">
        <w:rPr>
          <w:b/>
          <w:bCs/>
        </w:rPr>
        <w:t xml:space="preserve">Q. </w:t>
      </w:r>
      <w:r w:rsidR="00BF6652" w:rsidRPr="00E45A3B">
        <w:rPr>
          <w:rFonts w:eastAsia="Times New Roman"/>
          <w:b/>
          <w:bCs/>
          <w:color w:val="000000"/>
        </w:rPr>
        <w:t xml:space="preserve">How can </w:t>
      </w:r>
      <w:r w:rsidR="00981F63" w:rsidRPr="00E45A3B">
        <w:rPr>
          <w:rFonts w:eastAsia="Times New Roman"/>
          <w:b/>
          <w:bCs/>
          <w:color w:val="000000"/>
        </w:rPr>
        <w:t>technical support</w:t>
      </w:r>
      <w:r>
        <w:rPr>
          <w:rFonts w:eastAsia="Times New Roman"/>
          <w:b/>
          <w:bCs/>
          <w:color w:val="000000"/>
        </w:rPr>
        <w:t xml:space="preserve"> for DHP</w:t>
      </w:r>
      <w:r w:rsidR="00024628" w:rsidRPr="00E45A3B">
        <w:rPr>
          <w:rFonts w:eastAsia="Times New Roman"/>
          <w:b/>
          <w:bCs/>
          <w:color w:val="000000"/>
        </w:rPr>
        <w:t xml:space="preserve"> be accessed</w:t>
      </w:r>
      <w:r w:rsidR="00981F63" w:rsidRPr="00E45A3B">
        <w:rPr>
          <w:rFonts w:eastAsia="Times New Roman"/>
          <w:b/>
          <w:bCs/>
          <w:color w:val="000000"/>
        </w:rPr>
        <w:t>?</w:t>
      </w:r>
    </w:p>
    <w:p w14:paraId="042EB1BD" w14:textId="46E76844" w:rsidR="00981F63" w:rsidRDefault="00E45A3B" w:rsidP="007118AB">
      <w:pPr>
        <w:spacing w:after="0" w:line="240" w:lineRule="auto"/>
        <w:ind w:left="1080" w:hanging="360"/>
      </w:pPr>
      <w:r w:rsidRPr="00E45A3B">
        <w:rPr>
          <w:b/>
          <w:bCs/>
        </w:rPr>
        <w:t>A:</w:t>
      </w:r>
      <w:r>
        <w:t xml:space="preserve">  </w:t>
      </w:r>
      <w:r w:rsidR="00981F63">
        <w:t xml:space="preserve">The Optum Support Desk is available 6am-6pm Monday through Friday. </w:t>
      </w:r>
      <w:r w:rsidR="003B60D7">
        <w:t>They can be phoned</w:t>
      </w:r>
      <w:r w:rsidR="00981F63">
        <w:t xml:space="preserve"> at 1-800-834-3792 or email</w:t>
      </w:r>
      <w:r w:rsidR="003B60D7">
        <w:t>ed</w:t>
      </w:r>
      <w:r w:rsidR="00981F63">
        <w:t xml:space="preserve"> at </w:t>
      </w:r>
      <w:hyperlink r:id="rId15" w:history="1">
        <w:r w:rsidR="00981F63">
          <w:rPr>
            <w:rStyle w:val="Hyperlink"/>
          </w:rPr>
          <w:t>sdhelpdesk@optum.com</w:t>
        </w:r>
      </w:hyperlink>
      <w:r w:rsidR="00981F63">
        <w:t xml:space="preserve">. </w:t>
      </w:r>
      <w:r w:rsidR="003B60D7">
        <w:t>Staff can</w:t>
      </w:r>
      <w:r w:rsidR="00981F63">
        <w:t xml:space="preserve"> also re-take the DHP training as often as</w:t>
      </w:r>
      <w:r w:rsidR="003B60D7">
        <w:t xml:space="preserve"> needed</w:t>
      </w:r>
      <w:r w:rsidR="00981F63">
        <w:t xml:space="preserve"> as a refresher</w:t>
      </w:r>
      <w:r w:rsidR="003B60D7">
        <w:t xml:space="preserve"> </w:t>
      </w:r>
      <w:r w:rsidR="00B87043">
        <w:t>(</w:t>
      </w:r>
      <w:r w:rsidR="003B60D7">
        <w:t xml:space="preserve">sign up </w:t>
      </w:r>
      <w:r w:rsidR="00981F63">
        <w:t>at</w:t>
      </w:r>
      <w:r w:rsidR="006251F1">
        <w:t xml:space="preserve"> </w:t>
      </w:r>
      <w:hyperlink r:id="rId16" w:history="1">
        <w:r w:rsidR="00FE0D11" w:rsidRPr="000F27D0">
          <w:rPr>
            <w:rStyle w:val="Hyperlink"/>
          </w:rPr>
          <w:t>https://www.regpack.com/reg/optum</w:t>
        </w:r>
      </w:hyperlink>
      <w:r w:rsidR="00B87043">
        <w:t>).</w:t>
      </w:r>
    </w:p>
    <w:p w14:paraId="2DBE7379" w14:textId="7E60B980" w:rsidR="00981F63" w:rsidRDefault="00981F63"/>
    <w:p w14:paraId="4CAEEBFA" w14:textId="6D579202" w:rsidR="0078383B" w:rsidRPr="0089621C" w:rsidRDefault="0078383B">
      <w:pPr>
        <w:rPr>
          <w:b/>
          <w:bCs/>
          <w:i/>
          <w:iCs/>
          <w:u w:val="single"/>
        </w:rPr>
      </w:pPr>
      <w:r w:rsidRPr="0089621C">
        <w:rPr>
          <w:b/>
          <w:bCs/>
          <w:i/>
          <w:iCs/>
          <w:u w:val="single"/>
        </w:rPr>
        <w:t>General Questions:</w:t>
      </w:r>
    </w:p>
    <w:p w14:paraId="629C8638" w14:textId="159260AE" w:rsidR="0078383B" w:rsidRPr="009A7C8A" w:rsidRDefault="0078383B" w:rsidP="0078383B">
      <w:pPr>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What</w:t>
      </w:r>
      <w:r w:rsidR="00D530A5"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00B87043">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ervice </w:t>
      </w:r>
      <w:r w:rsidR="00D530A5"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87043">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ode</w:t>
      </w: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30A5"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be </w:t>
      </w: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r w:rsidR="00D530A5"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4C22"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a </w:t>
      </w:r>
      <w:r w:rsidR="00CC65CE"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w:t>
      </w:r>
      <w:r w:rsidR="00F34C22"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show</w:t>
      </w:r>
      <w:r w:rsidR="00F34C22"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A7C8A">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D61086" w14:textId="0EA28497" w:rsidR="0078383B" w:rsidRPr="00634013" w:rsidRDefault="0078383B" w:rsidP="007118AB">
      <w:pPr>
        <w:pStyle w:val="ListParagrap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171ADB">
        <w:rPr>
          <w:rFonts w:eastAsia="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1AD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no shows, select the intended service code and </w:t>
      </w:r>
      <w:r w:rsidRPr="0063401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then choose “no show” for </w:t>
      </w:r>
      <w:r w:rsidR="00171AD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63401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appointment type</w:t>
      </w:r>
      <w:r w:rsidR="00171AD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prompt</w:t>
      </w:r>
      <w:r w:rsidRPr="0063401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894D0A" w14:textId="29431A94" w:rsidR="0078383B" w:rsidRDefault="0078383B"/>
    <w:p w14:paraId="4AD5B5FC" w14:textId="3C395CE0" w:rsidR="009415AE" w:rsidRPr="00F24B80" w:rsidRDefault="009415AE" w:rsidP="009415AE">
      <w:pPr>
        <w:rPr>
          <w:rFonts w:eastAsia="Times New Roman"/>
          <w:b/>
          <w:bCs/>
        </w:rPr>
      </w:pPr>
      <w:r w:rsidRPr="00F24B80">
        <w:rPr>
          <w:b/>
          <w:bCs/>
        </w:rPr>
        <w:t>Q:</w:t>
      </w:r>
      <w:r w:rsidRPr="00F24B80">
        <w:rPr>
          <w:rFonts w:eastAsia="Times New Roman"/>
          <w:b/>
          <w:bCs/>
        </w:rPr>
        <w:t xml:space="preserve"> Are the differen</w:t>
      </w:r>
      <w:r w:rsidR="00171ADB" w:rsidRPr="00F24B80">
        <w:rPr>
          <w:rFonts w:eastAsia="Times New Roman"/>
          <w:b/>
          <w:bCs/>
        </w:rPr>
        <w:t>t</w:t>
      </w:r>
      <w:r w:rsidRPr="00F24B80">
        <w:rPr>
          <w:rFonts w:eastAsia="Times New Roman"/>
          <w:b/>
          <w:bCs/>
        </w:rPr>
        <w:t xml:space="preserve"> med</w:t>
      </w:r>
      <w:r w:rsidR="00171ADB" w:rsidRPr="00F24B80">
        <w:rPr>
          <w:rFonts w:eastAsia="Times New Roman"/>
          <w:b/>
          <w:bCs/>
        </w:rPr>
        <w:t>ication</w:t>
      </w:r>
      <w:r w:rsidRPr="00F24B80">
        <w:rPr>
          <w:rFonts w:eastAsia="Times New Roman"/>
          <w:b/>
          <w:bCs/>
        </w:rPr>
        <w:t xml:space="preserve"> codes reimbursed </w:t>
      </w:r>
      <w:r w:rsidR="00171ADB" w:rsidRPr="00F24B80">
        <w:rPr>
          <w:rFonts w:eastAsia="Times New Roman"/>
          <w:b/>
          <w:bCs/>
        </w:rPr>
        <w:t>at different rates</w:t>
      </w:r>
      <w:r w:rsidRPr="00F24B80">
        <w:rPr>
          <w:rFonts w:eastAsia="Times New Roman"/>
          <w:b/>
          <w:bCs/>
        </w:rPr>
        <w:t>?</w:t>
      </w:r>
    </w:p>
    <w:p w14:paraId="03B35DA4" w14:textId="30BEAA4F" w:rsidR="009415AE" w:rsidRDefault="009415AE" w:rsidP="007118AB">
      <w:pPr>
        <w:pStyle w:val="ListParagraph"/>
        <w:ind w:left="1080" w:hanging="360"/>
        <w:rPr>
          <w:rFonts w:eastAsia="Times New Roman"/>
        </w:rPr>
      </w:pPr>
      <w:r w:rsidRPr="009415AE">
        <w:rPr>
          <w:rFonts w:eastAsia="Times New Roman"/>
          <w:b/>
          <w:bCs/>
        </w:rPr>
        <w:t>A:</w:t>
      </w:r>
      <w:r>
        <w:rPr>
          <w:rFonts w:eastAsia="Times New Roman"/>
          <w:b/>
          <w:bCs/>
        </w:rPr>
        <w:t xml:space="preserve"> </w:t>
      </w:r>
      <w:r w:rsidR="00BD10BB" w:rsidRPr="00BD10BB">
        <w:rPr>
          <w:rFonts w:eastAsia="Times New Roman"/>
        </w:rPr>
        <w:t>The</w:t>
      </w:r>
      <w:r w:rsidR="004D1DAD">
        <w:rPr>
          <w:rFonts w:eastAsia="Times New Roman"/>
        </w:rPr>
        <w:t xml:space="preserve"> codes</w:t>
      </w:r>
      <w:r w:rsidR="00BD10BB" w:rsidRPr="00BD10BB">
        <w:rPr>
          <w:rFonts w:eastAsia="Times New Roman"/>
        </w:rPr>
        <w:t xml:space="preserve"> are r</w:t>
      </w:r>
      <w:r w:rsidRPr="00BD10BB">
        <w:rPr>
          <w:rFonts w:eastAsia="Times New Roman"/>
        </w:rPr>
        <w:t>eimbursed</w:t>
      </w:r>
      <w:r w:rsidR="00BD10BB">
        <w:rPr>
          <w:rFonts w:eastAsia="Times New Roman"/>
        </w:rPr>
        <w:t xml:space="preserve"> at the same amount,</w:t>
      </w:r>
      <w:r w:rsidRPr="009415AE">
        <w:rPr>
          <w:rFonts w:eastAsia="Times New Roman"/>
        </w:rPr>
        <w:t xml:space="preserve"> but </w:t>
      </w:r>
      <w:r w:rsidR="004D1DAD">
        <w:rPr>
          <w:rFonts w:eastAsia="Times New Roman"/>
        </w:rPr>
        <w:t>the different</w:t>
      </w:r>
      <w:r w:rsidRPr="009415AE">
        <w:rPr>
          <w:rFonts w:eastAsia="Times New Roman"/>
        </w:rPr>
        <w:t xml:space="preserve"> codes</w:t>
      </w:r>
      <w:r w:rsidR="004D1DAD">
        <w:rPr>
          <w:rFonts w:eastAsia="Times New Roman"/>
        </w:rPr>
        <w:t xml:space="preserve"> are used</w:t>
      </w:r>
      <w:r w:rsidRPr="009415AE">
        <w:rPr>
          <w:rFonts w:eastAsia="Times New Roman"/>
        </w:rPr>
        <w:t xml:space="preserve"> to indicate severity</w:t>
      </w:r>
      <w:r w:rsidR="004D1DAD">
        <w:rPr>
          <w:rFonts w:eastAsia="Times New Roman"/>
        </w:rPr>
        <w:t xml:space="preserve"> of</w:t>
      </w:r>
      <w:r w:rsidR="00171ADB">
        <w:rPr>
          <w:rFonts w:eastAsia="Times New Roman"/>
        </w:rPr>
        <w:t xml:space="preserve"> </w:t>
      </w:r>
      <w:r w:rsidR="00CC65CE">
        <w:rPr>
          <w:rFonts w:eastAsia="Times New Roman"/>
        </w:rPr>
        <w:t>client</w:t>
      </w:r>
      <w:r w:rsidR="00171ADB">
        <w:rPr>
          <w:rFonts w:eastAsia="Times New Roman"/>
        </w:rPr>
        <w:t xml:space="preserve"> presentation/functioning and complexity of services provided.  The documentation in the note should be consistent with the severity of </w:t>
      </w:r>
      <w:r w:rsidR="00CC65CE">
        <w:rPr>
          <w:rFonts w:eastAsia="Times New Roman"/>
        </w:rPr>
        <w:t>client</w:t>
      </w:r>
      <w:r w:rsidR="00171ADB">
        <w:rPr>
          <w:rFonts w:eastAsia="Times New Roman"/>
        </w:rPr>
        <w:t xml:space="preserve"> presentation/functioning and complexity of services provided.  </w:t>
      </w:r>
    </w:p>
    <w:p w14:paraId="0E8A33F3" w14:textId="23D011F5" w:rsidR="00F24B80" w:rsidRDefault="00F24B80" w:rsidP="00F24B80">
      <w:pPr>
        <w:rPr>
          <w:rFonts w:eastAsia="Times New Roman"/>
          <w:b/>
          <w:bCs/>
        </w:rPr>
      </w:pPr>
    </w:p>
    <w:p w14:paraId="627838C5" w14:textId="7458A893" w:rsidR="00F24B80" w:rsidRPr="00F24B80" w:rsidRDefault="00F24B80" w:rsidP="00F24B80">
      <w:pPr>
        <w:rPr>
          <w:rFonts w:eastAsia="Times New Roman"/>
        </w:rPr>
      </w:pPr>
      <w:r w:rsidRPr="00F24B80">
        <w:rPr>
          <w:rFonts w:eastAsia="Times New Roman"/>
          <w:b/>
          <w:bCs/>
        </w:rPr>
        <w:t xml:space="preserve">Q:  </w:t>
      </w:r>
      <w:r w:rsidR="00F604E3">
        <w:rPr>
          <w:rFonts w:eastAsia="Times New Roman"/>
          <w:b/>
          <w:bCs/>
        </w:rPr>
        <w:t>When should</w:t>
      </w:r>
      <w:r w:rsidRPr="00F24B80">
        <w:rPr>
          <w:rFonts w:eastAsia="Times New Roman"/>
          <w:b/>
          <w:bCs/>
        </w:rPr>
        <w:t xml:space="preserve"> “Telephone” and “Tele</w:t>
      </w:r>
      <w:r w:rsidR="00553454">
        <w:rPr>
          <w:rFonts w:eastAsia="Times New Roman"/>
          <w:b/>
          <w:bCs/>
        </w:rPr>
        <w:t>health</w:t>
      </w:r>
      <w:r w:rsidR="0026372E">
        <w:rPr>
          <w:rFonts w:eastAsia="Times New Roman"/>
          <w:b/>
          <w:bCs/>
        </w:rPr>
        <w:t>”</w:t>
      </w:r>
      <w:r w:rsidRPr="00F24B80">
        <w:rPr>
          <w:rFonts w:eastAsia="Times New Roman"/>
          <w:b/>
          <w:bCs/>
        </w:rPr>
        <w:t xml:space="preserve"> </w:t>
      </w:r>
      <w:r w:rsidR="00F604E3">
        <w:rPr>
          <w:rFonts w:eastAsia="Times New Roman"/>
          <w:b/>
          <w:bCs/>
        </w:rPr>
        <w:t xml:space="preserve">be used </w:t>
      </w:r>
      <w:r w:rsidRPr="00F24B80">
        <w:rPr>
          <w:rFonts w:eastAsia="Times New Roman"/>
          <w:b/>
          <w:bCs/>
        </w:rPr>
        <w:t xml:space="preserve">for </w:t>
      </w:r>
      <w:r w:rsidR="00AE5CAA">
        <w:rPr>
          <w:rFonts w:eastAsia="Times New Roman"/>
          <w:b/>
          <w:bCs/>
        </w:rPr>
        <w:t xml:space="preserve">the </w:t>
      </w:r>
      <w:r w:rsidRPr="00F24B80">
        <w:rPr>
          <w:rFonts w:eastAsia="Times New Roman"/>
          <w:b/>
          <w:bCs/>
        </w:rPr>
        <w:t>service type</w:t>
      </w:r>
      <w:r w:rsidR="00F604E3">
        <w:rPr>
          <w:rFonts w:eastAsia="Times New Roman"/>
          <w:b/>
          <w:bCs/>
        </w:rPr>
        <w:t>?</w:t>
      </w:r>
      <w:r>
        <w:rPr>
          <w:rFonts w:eastAsia="Times New Roman"/>
        </w:rPr>
        <w:t xml:space="preserve"> </w:t>
      </w:r>
    </w:p>
    <w:p w14:paraId="3926C8DD" w14:textId="61783561" w:rsidR="00F24B80" w:rsidRPr="00F24B80" w:rsidRDefault="00F24B80" w:rsidP="007118AB">
      <w:pPr>
        <w:pStyle w:val="ListParagraph"/>
        <w:numPr>
          <w:ilvl w:val="0"/>
          <w:numId w:val="8"/>
        </w:numPr>
        <w:rPr>
          <w:rFonts w:eastAsia="Times New Roman"/>
        </w:rPr>
      </w:pPr>
      <w:r w:rsidRPr="00F24B80">
        <w:rPr>
          <w:rFonts w:eastAsia="Times New Roman"/>
        </w:rPr>
        <w:t>There is a differen</w:t>
      </w:r>
      <w:r w:rsidR="00F604E3">
        <w:rPr>
          <w:rFonts w:eastAsia="Times New Roman"/>
        </w:rPr>
        <w:t>ce</w:t>
      </w:r>
      <w:r w:rsidRPr="00F24B80">
        <w:rPr>
          <w:rFonts w:eastAsia="Times New Roman"/>
        </w:rPr>
        <w:t xml:space="preserve"> between “</w:t>
      </w:r>
      <w:r>
        <w:rPr>
          <w:rFonts w:eastAsia="Times New Roman"/>
        </w:rPr>
        <w:t>T</w:t>
      </w:r>
      <w:r w:rsidRPr="00F24B80">
        <w:rPr>
          <w:rFonts w:eastAsia="Times New Roman"/>
        </w:rPr>
        <w:t xml:space="preserve">elephone” </w:t>
      </w:r>
      <w:r w:rsidR="00F604E3">
        <w:rPr>
          <w:rFonts w:eastAsia="Times New Roman"/>
        </w:rPr>
        <w:t>and</w:t>
      </w:r>
      <w:r w:rsidRPr="00F24B80">
        <w:rPr>
          <w:rFonts w:eastAsia="Times New Roman"/>
        </w:rPr>
        <w:t xml:space="preserve"> “</w:t>
      </w:r>
      <w:r>
        <w:rPr>
          <w:rFonts w:eastAsia="Times New Roman"/>
        </w:rPr>
        <w:t>T</w:t>
      </w:r>
      <w:r w:rsidRPr="00F24B80">
        <w:rPr>
          <w:rFonts w:eastAsia="Times New Roman"/>
        </w:rPr>
        <w:t>elehealth”</w:t>
      </w:r>
      <w:r w:rsidR="00AE5CAA">
        <w:rPr>
          <w:rFonts w:eastAsia="Times New Roman"/>
        </w:rPr>
        <w:t>:</w:t>
      </w:r>
    </w:p>
    <w:p w14:paraId="3C22683B" w14:textId="7304143B" w:rsidR="00381CB6" w:rsidRDefault="00F24B80" w:rsidP="00381CB6">
      <w:pPr>
        <w:pStyle w:val="ListParagraph"/>
        <w:numPr>
          <w:ilvl w:val="0"/>
          <w:numId w:val="9"/>
        </w:numPr>
        <w:rPr>
          <w:rFonts w:eastAsia="Times New Roman"/>
        </w:rPr>
      </w:pPr>
      <w:r w:rsidRPr="00381CB6">
        <w:rPr>
          <w:rFonts w:eastAsia="Times New Roman"/>
          <w:u w:val="single"/>
        </w:rPr>
        <w:t>Telephone:</w:t>
      </w:r>
      <w:r w:rsidRPr="00381CB6">
        <w:rPr>
          <w:rFonts w:eastAsia="Times New Roman"/>
        </w:rPr>
        <w:t xml:space="preserve"> </w:t>
      </w:r>
      <w:r w:rsidR="00AE3881">
        <w:rPr>
          <w:rFonts w:eastAsia="Times New Roman"/>
        </w:rPr>
        <w:t xml:space="preserve"> P</w:t>
      </w:r>
      <w:r w:rsidRPr="00381CB6">
        <w:rPr>
          <w:rFonts w:eastAsia="Times New Roman"/>
        </w:rPr>
        <w:t>hone conversation</w:t>
      </w:r>
      <w:r w:rsidR="00AE5CAA">
        <w:rPr>
          <w:rFonts w:eastAsia="Times New Roman"/>
        </w:rPr>
        <w:t>, select</w:t>
      </w:r>
      <w:r w:rsidRPr="00381CB6">
        <w:rPr>
          <w:rFonts w:eastAsia="Times New Roman"/>
        </w:rPr>
        <w:t xml:space="preserve"> “Provided </w:t>
      </w:r>
      <w:r w:rsidR="0026372E">
        <w:rPr>
          <w:rFonts w:eastAsia="Times New Roman"/>
        </w:rPr>
        <w:t>A</w:t>
      </w:r>
      <w:r w:rsidRPr="00381CB6">
        <w:rPr>
          <w:rFonts w:eastAsia="Times New Roman"/>
        </w:rPr>
        <w:t xml:space="preserve">t” being “Office” and </w:t>
      </w:r>
      <w:r w:rsidR="00F604E3">
        <w:rPr>
          <w:rFonts w:eastAsia="Times New Roman"/>
        </w:rPr>
        <w:t xml:space="preserve">“Contact Type” being </w:t>
      </w:r>
      <w:r w:rsidRPr="00381CB6">
        <w:rPr>
          <w:rFonts w:eastAsia="Times New Roman"/>
        </w:rPr>
        <w:t>“Telephone”</w:t>
      </w:r>
    </w:p>
    <w:p w14:paraId="1BF8DF1F" w14:textId="7E356FA6" w:rsidR="00381CB6" w:rsidRDefault="00F24B80" w:rsidP="00381CB6">
      <w:pPr>
        <w:pStyle w:val="ListParagraph"/>
        <w:numPr>
          <w:ilvl w:val="0"/>
          <w:numId w:val="9"/>
        </w:numPr>
        <w:rPr>
          <w:rFonts w:eastAsia="Times New Roman"/>
        </w:rPr>
      </w:pPr>
      <w:r w:rsidRPr="00381CB6">
        <w:rPr>
          <w:rFonts w:eastAsia="Times New Roman"/>
          <w:u w:val="single"/>
        </w:rPr>
        <w:t>Zoom/FaceTime, etc.:</w:t>
      </w:r>
      <w:r w:rsidRPr="00381CB6">
        <w:rPr>
          <w:rFonts w:eastAsia="Times New Roman"/>
        </w:rPr>
        <w:t xml:space="preserve"> </w:t>
      </w:r>
      <w:r w:rsidR="00AE3881">
        <w:rPr>
          <w:rFonts w:eastAsia="Times New Roman"/>
        </w:rPr>
        <w:t xml:space="preserve"> W</w:t>
      </w:r>
      <w:r w:rsidRPr="00381CB6">
        <w:rPr>
          <w:rFonts w:eastAsia="Times New Roman"/>
        </w:rPr>
        <w:t xml:space="preserve">hen </w:t>
      </w:r>
      <w:r w:rsidR="00F604E3">
        <w:rPr>
          <w:rFonts w:eastAsia="Times New Roman"/>
        </w:rPr>
        <w:t>the client is seen via</w:t>
      </w:r>
      <w:r w:rsidRPr="00381CB6">
        <w:rPr>
          <w:rFonts w:eastAsia="Times New Roman"/>
        </w:rPr>
        <w:t xml:space="preserve"> </w:t>
      </w:r>
      <w:r w:rsidR="00F604E3">
        <w:rPr>
          <w:rFonts w:eastAsia="Times New Roman"/>
        </w:rPr>
        <w:t xml:space="preserve">a </w:t>
      </w:r>
      <w:r w:rsidRPr="00381CB6">
        <w:rPr>
          <w:rFonts w:eastAsia="Times New Roman"/>
        </w:rPr>
        <w:t xml:space="preserve">video platform, </w:t>
      </w:r>
      <w:r w:rsidR="00F604E3">
        <w:rPr>
          <w:rFonts w:eastAsia="Times New Roman"/>
        </w:rPr>
        <w:t>select</w:t>
      </w:r>
      <w:r w:rsidRPr="00381CB6">
        <w:rPr>
          <w:rFonts w:eastAsia="Times New Roman"/>
        </w:rPr>
        <w:t xml:space="preserve"> “Telehealth” for</w:t>
      </w:r>
      <w:r w:rsidR="00F604E3">
        <w:rPr>
          <w:rFonts w:eastAsia="Times New Roman"/>
        </w:rPr>
        <w:t xml:space="preserve"> both</w:t>
      </w:r>
      <w:r w:rsidRPr="00381CB6">
        <w:rPr>
          <w:rFonts w:eastAsia="Times New Roman"/>
        </w:rPr>
        <w:t xml:space="preserve"> “</w:t>
      </w:r>
      <w:r w:rsidR="0026372E">
        <w:rPr>
          <w:rFonts w:eastAsia="Times New Roman"/>
        </w:rPr>
        <w:t>P</w:t>
      </w:r>
      <w:r w:rsidRPr="00381CB6">
        <w:rPr>
          <w:rFonts w:eastAsia="Times New Roman"/>
        </w:rPr>
        <w:t xml:space="preserve">rovided </w:t>
      </w:r>
      <w:r w:rsidR="0026372E">
        <w:rPr>
          <w:rFonts w:eastAsia="Times New Roman"/>
        </w:rPr>
        <w:t>A</w:t>
      </w:r>
      <w:r w:rsidRPr="00381CB6">
        <w:rPr>
          <w:rFonts w:eastAsia="Times New Roman"/>
        </w:rPr>
        <w:t>t” and “Contact Type”</w:t>
      </w:r>
    </w:p>
    <w:p w14:paraId="461EE794" w14:textId="1A3D3239" w:rsidR="00F24B80" w:rsidRPr="00F34C22" w:rsidRDefault="00F24B80" w:rsidP="00F34C22">
      <w:pPr>
        <w:pStyle w:val="ListParagraph"/>
        <w:numPr>
          <w:ilvl w:val="0"/>
          <w:numId w:val="9"/>
        </w:numPr>
        <w:rPr>
          <w:rFonts w:eastAsia="Times New Roman"/>
        </w:rPr>
      </w:pPr>
      <w:r w:rsidRPr="00381CB6">
        <w:rPr>
          <w:rFonts w:eastAsia="Times New Roman"/>
          <w:u w:val="single"/>
        </w:rPr>
        <w:t>If hospitalized/lock out setting</w:t>
      </w:r>
      <w:r w:rsidRPr="00381CB6">
        <w:rPr>
          <w:rFonts w:eastAsia="Times New Roman"/>
        </w:rPr>
        <w:t xml:space="preserve">: </w:t>
      </w:r>
      <w:r w:rsidR="00381CB6">
        <w:rPr>
          <w:rFonts w:eastAsia="Times New Roman"/>
        </w:rPr>
        <w:t>I</w:t>
      </w:r>
      <w:r w:rsidRPr="00381CB6">
        <w:rPr>
          <w:rFonts w:eastAsia="Times New Roman"/>
        </w:rPr>
        <w:t xml:space="preserve">ndicate the lock-out setting </w:t>
      </w:r>
      <w:r w:rsidR="0026372E">
        <w:rPr>
          <w:rFonts w:eastAsia="Times New Roman"/>
        </w:rPr>
        <w:t xml:space="preserve">for “Provided At” </w:t>
      </w:r>
      <w:r w:rsidRPr="00381CB6">
        <w:rPr>
          <w:rFonts w:eastAsia="Times New Roman"/>
        </w:rPr>
        <w:t>so the service is not billed</w:t>
      </w:r>
      <w:r w:rsidR="0026372E">
        <w:rPr>
          <w:rFonts w:eastAsia="Times New Roman"/>
        </w:rPr>
        <w:t>. The “Contact Type” indicated should still indicate “Telehealth.”</w:t>
      </w:r>
    </w:p>
    <w:p w14:paraId="004DA9C4" w14:textId="77777777" w:rsidR="00F24B80" w:rsidRPr="00F24B80" w:rsidRDefault="00F24B80" w:rsidP="00F24B80">
      <w:pPr>
        <w:rPr>
          <w:rFonts w:eastAsia="Times New Roman"/>
          <w:b/>
          <w:bCs/>
        </w:rPr>
      </w:pPr>
    </w:p>
    <w:p w14:paraId="0E5F654D" w14:textId="131C0EEF" w:rsidR="009415AE" w:rsidRPr="009415AE" w:rsidRDefault="009415AE">
      <w:pPr>
        <w:rPr>
          <w:b/>
          <w:bCs/>
        </w:rPr>
      </w:pPr>
    </w:p>
    <w:sectPr w:rsidR="009415AE" w:rsidRPr="009415AE" w:rsidSect="004F6E89">
      <w:headerReference w:type="default" r:id="rId17"/>
      <w:footerReference w:type="default" r:id="rId1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30523" w14:textId="77777777" w:rsidR="00921114" w:rsidRDefault="00921114" w:rsidP="00762515">
      <w:pPr>
        <w:spacing w:after="0" w:line="240" w:lineRule="auto"/>
      </w:pPr>
      <w:r>
        <w:separator/>
      </w:r>
    </w:p>
  </w:endnote>
  <w:endnote w:type="continuationSeparator" w:id="0">
    <w:p w14:paraId="640199D2" w14:textId="77777777" w:rsidR="00921114" w:rsidRDefault="00921114" w:rsidP="0076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85227"/>
      <w:docPartObj>
        <w:docPartGallery w:val="Page Numbers (Bottom of Page)"/>
        <w:docPartUnique/>
      </w:docPartObj>
    </w:sdtPr>
    <w:sdtEndPr/>
    <w:sdtContent>
      <w:sdt>
        <w:sdtPr>
          <w:id w:val="-1705238520"/>
          <w:docPartObj>
            <w:docPartGallery w:val="Page Numbers (Top of Page)"/>
            <w:docPartUnique/>
          </w:docPartObj>
        </w:sdtPr>
        <w:sdtEndPr/>
        <w:sdtContent>
          <w:p w14:paraId="3203030B" w14:textId="47D0A1D2" w:rsidR="004D7EED" w:rsidRDefault="004D7EED">
            <w:pPr>
              <w:pStyle w:val="Footer"/>
              <w:rPr>
                <w:i/>
                <w:iCs/>
              </w:rPr>
            </w:pPr>
            <w:r>
              <w:rPr>
                <w:i/>
                <w:iCs/>
              </w:rPr>
              <w:t>BHS – QM Department</w:t>
            </w:r>
          </w:p>
          <w:p w14:paraId="3CED10AC" w14:textId="6E5315C5" w:rsidR="00BF6652" w:rsidRDefault="004D7EED">
            <w:pPr>
              <w:pStyle w:val="Footer"/>
            </w:pPr>
            <w:r>
              <w:rPr>
                <w:i/>
                <w:iCs/>
              </w:rPr>
              <w:t>4/13/21</w:t>
            </w:r>
            <w:r w:rsidR="00BF6652">
              <w:t xml:space="preserve"> </w:t>
            </w:r>
            <w:r w:rsidR="00BF6652">
              <w:tab/>
            </w:r>
            <w:r w:rsidR="00BF6652">
              <w:tab/>
              <w:t xml:space="preserve">Page </w:t>
            </w:r>
            <w:r w:rsidR="00BF6652">
              <w:rPr>
                <w:b/>
                <w:bCs/>
                <w:sz w:val="24"/>
                <w:szCs w:val="24"/>
              </w:rPr>
              <w:fldChar w:fldCharType="begin"/>
            </w:r>
            <w:r w:rsidR="00BF6652">
              <w:rPr>
                <w:b/>
                <w:bCs/>
              </w:rPr>
              <w:instrText xml:space="preserve"> PAGE </w:instrText>
            </w:r>
            <w:r w:rsidR="00BF6652">
              <w:rPr>
                <w:b/>
                <w:bCs/>
                <w:sz w:val="24"/>
                <w:szCs w:val="24"/>
              </w:rPr>
              <w:fldChar w:fldCharType="separate"/>
            </w:r>
            <w:r w:rsidR="00BF6652">
              <w:rPr>
                <w:b/>
                <w:bCs/>
                <w:noProof/>
              </w:rPr>
              <w:t>2</w:t>
            </w:r>
            <w:r w:rsidR="00BF6652">
              <w:rPr>
                <w:b/>
                <w:bCs/>
                <w:sz w:val="24"/>
                <w:szCs w:val="24"/>
              </w:rPr>
              <w:fldChar w:fldCharType="end"/>
            </w:r>
            <w:r w:rsidR="00BF6652">
              <w:t xml:space="preserve"> of </w:t>
            </w:r>
            <w:r w:rsidR="00BF6652">
              <w:rPr>
                <w:b/>
                <w:bCs/>
                <w:sz w:val="24"/>
                <w:szCs w:val="24"/>
              </w:rPr>
              <w:fldChar w:fldCharType="begin"/>
            </w:r>
            <w:r w:rsidR="00BF6652">
              <w:rPr>
                <w:b/>
                <w:bCs/>
              </w:rPr>
              <w:instrText xml:space="preserve"> NUMPAGES  </w:instrText>
            </w:r>
            <w:r w:rsidR="00BF6652">
              <w:rPr>
                <w:b/>
                <w:bCs/>
                <w:sz w:val="24"/>
                <w:szCs w:val="24"/>
              </w:rPr>
              <w:fldChar w:fldCharType="separate"/>
            </w:r>
            <w:r w:rsidR="00BF6652">
              <w:rPr>
                <w:b/>
                <w:bCs/>
                <w:noProof/>
              </w:rPr>
              <w:t>2</w:t>
            </w:r>
            <w:r w:rsidR="00BF6652">
              <w:rPr>
                <w:b/>
                <w:bCs/>
                <w:sz w:val="24"/>
                <w:szCs w:val="24"/>
              </w:rPr>
              <w:fldChar w:fldCharType="end"/>
            </w:r>
          </w:p>
        </w:sdtContent>
      </w:sdt>
    </w:sdtContent>
  </w:sdt>
  <w:p w14:paraId="784D4CE9" w14:textId="77777777" w:rsidR="00BF6652" w:rsidRDefault="00BF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DEA8A" w14:textId="77777777" w:rsidR="00921114" w:rsidRDefault="00921114" w:rsidP="00762515">
      <w:pPr>
        <w:spacing w:after="0" w:line="240" w:lineRule="auto"/>
      </w:pPr>
      <w:r>
        <w:separator/>
      </w:r>
    </w:p>
  </w:footnote>
  <w:footnote w:type="continuationSeparator" w:id="0">
    <w:p w14:paraId="05360743" w14:textId="77777777" w:rsidR="00921114" w:rsidRDefault="00921114" w:rsidP="0076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67BC9" w14:textId="3289AE7F" w:rsidR="00BF6652" w:rsidRDefault="00BF6652" w:rsidP="00762515">
    <w:pPr>
      <w:pStyle w:val="Header"/>
      <w:jc w:val="center"/>
    </w:pPr>
  </w:p>
  <w:p w14:paraId="66F81F2B" w14:textId="57D09713" w:rsidR="00BF6652" w:rsidRDefault="00BF6652" w:rsidP="00762515">
    <w:pPr>
      <w:pStyle w:val="Header"/>
      <w:jc w:val="center"/>
    </w:pPr>
  </w:p>
  <w:p w14:paraId="10054C97" w14:textId="1D806150" w:rsidR="00BF6652" w:rsidRDefault="00BF6652" w:rsidP="007625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8B7"/>
    <w:multiLevelType w:val="hybridMultilevel"/>
    <w:tmpl w:val="E90AB364"/>
    <w:lvl w:ilvl="0" w:tplc="A4E0B99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0812"/>
    <w:multiLevelType w:val="hybridMultilevel"/>
    <w:tmpl w:val="7318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753F0"/>
    <w:multiLevelType w:val="hybridMultilevel"/>
    <w:tmpl w:val="20E40ADC"/>
    <w:lvl w:ilvl="0" w:tplc="36BE9F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F6F39"/>
    <w:multiLevelType w:val="hybridMultilevel"/>
    <w:tmpl w:val="1708D50C"/>
    <w:lvl w:ilvl="0" w:tplc="95AA2B5E">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82E89"/>
    <w:multiLevelType w:val="hybridMultilevel"/>
    <w:tmpl w:val="0064424C"/>
    <w:lvl w:ilvl="0" w:tplc="D7509C06">
      <w:numFmt w:val="bullet"/>
      <w:lvlText w:val="-"/>
      <w:lvlJc w:val="left"/>
      <w:pPr>
        <w:ind w:left="5670" w:hanging="360"/>
      </w:pPr>
      <w:rPr>
        <w:rFonts w:ascii="Calibri" w:eastAsia="Times New Roman" w:hAnsi="Calibri" w:cs="Calibri" w:hint="default"/>
        <w:u w:val="single"/>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5" w15:restartNumberingAfterBreak="0">
    <w:nsid w:val="2900130E"/>
    <w:multiLevelType w:val="hybridMultilevel"/>
    <w:tmpl w:val="71E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4121A"/>
    <w:multiLevelType w:val="hybridMultilevel"/>
    <w:tmpl w:val="5486ED5A"/>
    <w:lvl w:ilvl="0" w:tplc="A4E0B990">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916CD"/>
    <w:multiLevelType w:val="hybridMultilevel"/>
    <w:tmpl w:val="E506CB22"/>
    <w:lvl w:ilvl="0" w:tplc="7B6EC72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D33EE7"/>
    <w:multiLevelType w:val="hybridMultilevel"/>
    <w:tmpl w:val="E96A2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FA6E38"/>
    <w:multiLevelType w:val="hybridMultilevel"/>
    <w:tmpl w:val="0B540D68"/>
    <w:lvl w:ilvl="0" w:tplc="9BDA7C3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84E2E"/>
    <w:multiLevelType w:val="hybridMultilevel"/>
    <w:tmpl w:val="7318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D51522"/>
    <w:multiLevelType w:val="hybridMultilevel"/>
    <w:tmpl w:val="345E77F4"/>
    <w:lvl w:ilvl="0" w:tplc="8C503A54">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B795C"/>
    <w:multiLevelType w:val="hybridMultilevel"/>
    <w:tmpl w:val="C07A8E00"/>
    <w:lvl w:ilvl="0" w:tplc="3198E4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E75C4"/>
    <w:multiLevelType w:val="hybridMultilevel"/>
    <w:tmpl w:val="AA9A8B4E"/>
    <w:lvl w:ilvl="0" w:tplc="CCA8C6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527CD"/>
    <w:multiLevelType w:val="hybridMultilevel"/>
    <w:tmpl w:val="A92ED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2A508A"/>
    <w:multiLevelType w:val="hybridMultilevel"/>
    <w:tmpl w:val="FA10F4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BA7F5E"/>
    <w:multiLevelType w:val="hybridMultilevel"/>
    <w:tmpl w:val="36608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B55D6C"/>
    <w:multiLevelType w:val="hybridMultilevel"/>
    <w:tmpl w:val="31ECA68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8" w15:restartNumberingAfterBreak="0">
    <w:nsid w:val="715C1DC5"/>
    <w:multiLevelType w:val="hybridMultilevel"/>
    <w:tmpl w:val="CE4823F0"/>
    <w:lvl w:ilvl="0" w:tplc="17ACA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51DFA"/>
    <w:multiLevelType w:val="hybridMultilevel"/>
    <w:tmpl w:val="4E6C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7"/>
  </w:num>
  <w:num w:numId="6">
    <w:abstractNumId w:val="1"/>
  </w:num>
  <w:num w:numId="7">
    <w:abstractNumId w:val="10"/>
  </w:num>
  <w:num w:numId="8">
    <w:abstractNumId w:val="7"/>
  </w:num>
  <w:num w:numId="9">
    <w:abstractNumId w:val="16"/>
  </w:num>
  <w:num w:numId="10">
    <w:abstractNumId w:val="19"/>
  </w:num>
  <w:num w:numId="11">
    <w:abstractNumId w:val="13"/>
  </w:num>
  <w:num w:numId="12">
    <w:abstractNumId w:val="18"/>
  </w:num>
  <w:num w:numId="13">
    <w:abstractNumId w:val="11"/>
  </w:num>
  <w:num w:numId="14">
    <w:abstractNumId w:val="0"/>
  </w:num>
  <w:num w:numId="15">
    <w:abstractNumId w:val="3"/>
  </w:num>
  <w:num w:numId="16">
    <w:abstractNumId w:val="6"/>
  </w:num>
  <w:num w:numId="17">
    <w:abstractNumId w:val="8"/>
  </w:num>
  <w:num w:numId="18">
    <w:abstractNumId w:val="5"/>
  </w:num>
  <w:num w:numId="19">
    <w:abstractNumId w:val="12"/>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cryptProviderType="rsaAES" w:cryptAlgorithmClass="hash" w:cryptAlgorithmType="typeAny" w:cryptAlgorithmSid="14" w:cryptSpinCount="100000" w:hash="R3Jw3bBm7k5ErNuJlkrNrpjREQbkpdWQyQKynJZwcyxEEBwauTNMtLrlGZ1CfeEKhtTzUPDww/G+IQT8k0znnw==" w:salt="dWX0n0q+7MGzfkp31kIi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93"/>
    <w:rsid w:val="000100F5"/>
    <w:rsid w:val="00023287"/>
    <w:rsid w:val="00024628"/>
    <w:rsid w:val="00035877"/>
    <w:rsid w:val="00037F1A"/>
    <w:rsid w:val="00051D0B"/>
    <w:rsid w:val="00096378"/>
    <w:rsid w:val="000A0532"/>
    <w:rsid w:val="000A7653"/>
    <w:rsid w:val="000B4F93"/>
    <w:rsid w:val="000B5684"/>
    <w:rsid w:val="000B7B92"/>
    <w:rsid w:val="000C08C6"/>
    <w:rsid w:val="000C37EF"/>
    <w:rsid w:val="000C79C5"/>
    <w:rsid w:val="001030AA"/>
    <w:rsid w:val="0013180A"/>
    <w:rsid w:val="00165630"/>
    <w:rsid w:val="00165F2A"/>
    <w:rsid w:val="00166FAE"/>
    <w:rsid w:val="00171ADB"/>
    <w:rsid w:val="00192CE8"/>
    <w:rsid w:val="00193433"/>
    <w:rsid w:val="001957C7"/>
    <w:rsid w:val="001A528A"/>
    <w:rsid w:val="001B374C"/>
    <w:rsid w:val="001B72DB"/>
    <w:rsid w:val="001C570F"/>
    <w:rsid w:val="001E6F8F"/>
    <w:rsid w:val="00201816"/>
    <w:rsid w:val="00205247"/>
    <w:rsid w:val="00216BBC"/>
    <w:rsid w:val="00226F01"/>
    <w:rsid w:val="002336FD"/>
    <w:rsid w:val="0024089F"/>
    <w:rsid w:val="0026372E"/>
    <w:rsid w:val="00274BAA"/>
    <w:rsid w:val="002933ED"/>
    <w:rsid w:val="002B40F7"/>
    <w:rsid w:val="002C5B8D"/>
    <w:rsid w:val="002E6599"/>
    <w:rsid w:val="002F7E22"/>
    <w:rsid w:val="0030416D"/>
    <w:rsid w:val="00306F93"/>
    <w:rsid w:val="00323D40"/>
    <w:rsid w:val="00326943"/>
    <w:rsid w:val="00363226"/>
    <w:rsid w:val="00381CB6"/>
    <w:rsid w:val="00382E4F"/>
    <w:rsid w:val="00384DCA"/>
    <w:rsid w:val="003B60D7"/>
    <w:rsid w:val="003D59CC"/>
    <w:rsid w:val="003E6E46"/>
    <w:rsid w:val="00421D08"/>
    <w:rsid w:val="0045007B"/>
    <w:rsid w:val="00453A60"/>
    <w:rsid w:val="00463361"/>
    <w:rsid w:val="004748DA"/>
    <w:rsid w:val="00477A63"/>
    <w:rsid w:val="00494C4E"/>
    <w:rsid w:val="00496410"/>
    <w:rsid w:val="004B0432"/>
    <w:rsid w:val="004B5506"/>
    <w:rsid w:val="004C2179"/>
    <w:rsid w:val="004D1DAD"/>
    <w:rsid w:val="004D7EED"/>
    <w:rsid w:val="004E19DB"/>
    <w:rsid w:val="004E49BA"/>
    <w:rsid w:val="004F6E89"/>
    <w:rsid w:val="00520C99"/>
    <w:rsid w:val="00541CC8"/>
    <w:rsid w:val="00553454"/>
    <w:rsid w:val="005548EB"/>
    <w:rsid w:val="00563CEC"/>
    <w:rsid w:val="0056638D"/>
    <w:rsid w:val="005705D7"/>
    <w:rsid w:val="00576098"/>
    <w:rsid w:val="005B145A"/>
    <w:rsid w:val="005C71F1"/>
    <w:rsid w:val="0060359E"/>
    <w:rsid w:val="006251F1"/>
    <w:rsid w:val="00632742"/>
    <w:rsid w:val="0063327A"/>
    <w:rsid w:val="00633D1A"/>
    <w:rsid w:val="00634013"/>
    <w:rsid w:val="00644DAA"/>
    <w:rsid w:val="0066031F"/>
    <w:rsid w:val="00662BB5"/>
    <w:rsid w:val="00667E1D"/>
    <w:rsid w:val="00696DE9"/>
    <w:rsid w:val="006A2E02"/>
    <w:rsid w:val="006B6781"/>
    <w:rsid w:val="006C272D"/>
    <w:rsid w:val="006F48EF"/>
    <w:rsid w:val="006F64F9"/>
    <w:rsid w:val="007118AB"/>
    <w:rsid w:val="007424D0"/>
    <w:rsid w:val="0075130F"/>
    <w:rsid w:val="00761F32"/>
    <w:rsid w:val="00762515"/>
    <w:rsid w:val="0078383B"/>
    <w:rsid w:val="007B5A8C"/>
    <w:rsid w:val="007C0B22"/>
    <w:rsid w:val="007C0F39"/>
    <w:rsid w:val="007C118C"/>
    <w:rsid w:val="007D2E00"/>
    <w:rsid w:val="007D3112"/>
    <w:rsid w:val="007D6A9E"/>
    <w:rsid w:val="007D7B4F"/>
    <w:rsid w:val="007F4764"/>
    <w:rsid w:val="00812DA4"/>
    <w:rsid w:val="00830C65"/>
    <w:rsid w:val="00836333"/>
    <w:rsid w:val="00854EC4"/>
    <w:rsid w:val="0089621C"/>
    <w:rsid w:val="008A0638"/>
    <w:rsid w:val="008C59FF"/>
    <w:rsid w:val="008E1CA3"/>
    <w:rsid w:val="008E70E3"/>
    <w:rsid w:val="0090390B"/>
    <w:rsid w:val="00910581"/>
    <w:rsid w:val="0091231F"/>
    <w:rsid w:val="009152D8"/>
    <w:rsid w:val="00916D32"/>
    <w:rsid w:val="00921114"/>
    <w:rsid w:val="00936DE8"/>
    <w:rsid w:val="009404BD"/>
    <w:rsid w:val="009415AE"/>
    <w:rsid w:val="00942264"/>
    <w:rsid w:val="00956901"/>
    <w:rsid w:val="0096159B"/>
    <w:rsid w:val="009625A6"/>
    <w:rsid w:val="00981F63"/>
    <w:rsid w:val="00982637"/>
    <w:rsid w:val="009A7C8A"/>
    <w:rsid w:val="009C20B7"/>
    <w:rsid w:val="009D13B5"/>
    <w:rsid w:val="00A0729C"/>
    <w:rsid w:val="00A1451C"/>
    <w:rsid w:val="00A610D5"/>
    <w:rsid w:val="00A62D96"/>
    <w:rsid w:val="00A63701"/>
    <w:rsid w:val="00A9457C"/>
    <w:rsid w:val="00AA1CEF"/>
    <w:rsid w:val="00AD77E2"/>
    <w:rsid w:val="00AD7F25"/>
    <w:rsid w:val="00AE3881"/>
    <w:rsid w:val="00AE5CAA"/>
    <w:rsid w:val="00B00813"/>
    <w:rsid w:val="00B06250"/>
    <w:rsid w:val="00B17B3C"/>
    <w:rsid w:val="00B61F5A"/>
    <w:rsid w:val="00B80EED"/>
    <w:rsid w:val="00B87043"/>
    <w:rsid w:val="00BA7294"/>
    <w:rsid w:val="00BB1457"/>
    <w:rsid w:val="00BC4D0F"/>
    <w:rsid w:val="00BD10BB"/>
    <w:rsid w:val="00BF6652"/>
    <w:rsid w:val="00C00304"/>
    <w:rsid w:val="00C00866"/>
    <w:rsid w:val="00C0279C"/>
    <w:rsid w:val="00C13732"/>
    <w:rsid w:val="00C16697"/>
    <w:rsid w:val="00C43559"/>
    <w:rsid w:val="00C46D53"/>
    <w:rsid w:val="00C90900"/>
    <w:rsid w:val="00CC65CE"/>
    <w:rsid w:val="00CD5552"/>
    <w:rsid w:val="00CF327D"/>
    <w:rsid w:val="00CF63FC"/>
    <w:rsid w:val="00D11D5A"/>
    <w:rsid w:val="00D2149F"/>
    <w:rsid w:val="00D351B3"/>
    <w:rsid w:val="00D4387C"/>
    <w:rsid w:val="00D530A5"/>
    <w:rsid w:val="00D72E22"/>
    <w:rsid w:val="00DB6001"/>
    <w:rsid w:val="00DD6F93"/>
    <w:rsid w:val="00DF30A6"/>
    <w:rsid w:val="00E003FA"/>
    <w:rsid w:val="00E02F78"/>
    <w:rsid w:val="00E12088"/>
    <w:rsid w:val="00E1625E"/>
    <w:rsid w:val="00E229CE"/>
    <w:rsid w:val="00E24685"/>
    <w:rsid w:val="00E267BA"/>
    <w:rsid w:val="00E26D32"/>
    <w:rsid w:val="00E45A3B"/>
    <w:rsid w:val="00E57D71"/>
    <w:rsid w:val="00E62EC5"/>
    <w:rsid w:val="00E74B06"/>
    <w:rsid w:val="00E80DA5"/>
    <w:rsid w:val="00E82065"/>
    <w:rsid w:val="00E85764"/>
    <w:rsid w:val="00E92D19"/>
    <w:rsid w:val="00EA0077"/>
    <w:rsid w:val="00EA7AF7"/>
    <w:rsid w:val="00EE0BA9"/>
    <w:rsid w:val="00F061E3"/>
    <w:rsid w:val="00F13666"/>
    <w:rsid w:val="00F24B80"/>
    <w:rsid w:val="00F34C22"/>
    <w:rsid w:val="00F604E3"/>
    <w:rsid w:val="00F750BF"/>
    <w:rsid w:val="00FA0DD4"/>
    <w:rsid w:val="00FA520D"/>
    <w:rsid w:val="00FB6B7F"/>
    <w:rsid w:val="00FE077D"/>
    <w:rsid w:val="00FE0D11"/>
    <w:rsid w:val="00FE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BC05"/>
  <w15:chartTrackingRefBased/>
  <w15:docId w15:val="{DBA2807E-1B21-418A-9F34-5657C9DA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93"/>
    <w:pPr>
      <w:spacing w:after="0" w:line="240" w:lineRule="auto"/>
      <w:ind w:left="720"/>
    </w:pPr>
    <w:rPr>
      <w:rFonts w:ascii="Calibri" w:hAnsi="Calibri" w:cs="Calibri"/>
    </w:rPr>
  </w:style>
  <w:style w:type="character" w:styleId="Hyperlink">
    <w:name w:val="Hyperlink"/>
    <w:basedOn w:val="DefaultParagraphFont"/>
    <w:uiPriority w:val="99"/>
    <w:unhideWhenUsed/>
    <w:rsid w:val="00981F63"/>
    <w:rPr>
      <w:color w:val="0000FF"/>
      <w:u w:val="single"/>
    </w:rPr>
  </w:style>
  <w:style w:type="character" w:styleId="LineNumber">
    <w:name w:val="line number"/>
    <w:basedOn w:val="DefaultParagraphFont"/>
    <w:uiPriority w:val="99"/>
    <w:semiHidden/>
    <w:unhideWhenUsed/>
    <w:rsid w:val="004F6E89"/>
  </w:style>
  <w:style w:type="paragraph" w:styleId="Header">
    <w:name w:val="header"/>
    <w:basedOn w:val="Normal"/>
    <w:link w:val="HeaderChar"/>
    <w:uiPriority w:val="99"/>
    <w:unhideWhenUsed/>
    <w:rsid w:val="0076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515"/>
  </w:style>
  <w:style w:type="paragraph" w:styleId="Footer">
    <w:name w:val="footer"/>
    <w:basedOn w:val="Normal"/>
    <w:link w:val="FooterChar"/>
    <w:uiPriority w:val="99"/>
    <w:unhideWhenUsed/>
    <w:rsid w:val="0076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515"/>
  </w:style>
  <w:style w:type="character" w:styleId="CommentReference">
    <w:name w:val="annotation reference"/>
    <w:basedOn w:val="DefaultParagraphFont"/>
    <w:uiPriority w:val="99"/>
    <w:semiHidden/>
    <w:unhideWhenUsed/>
    <w:rsid w:val="00193433"/>
    <w:rPr>
      <w:sz w:val="16"/>
      <w:szCs w:val="16"/>
    </w:rPr>
  </w:style>
  <w:style w:type="paragraph" w:styleId="CommentText">
    <w:name w:val="annotation text"/>
    <w:basedOn w:val="Normal"/>
    <w:link w:val="CommentTextChar"/>
    <w:uiPriority w:val="99"/>
    <w:semiHidden/>
    <w:unhideWhenUsed/>
    <w:rsid w:val="00193433"/>
    <w:pPr>
      <w:spacing w:line="240" w:lineRule="auto"/>
    </w:pPr>
    <w:rPr>
      <w:sz w:val="20"/>
      <w:szCs w:val="20"/>
    </w:rPr>
  </w:style>
  <w:style w:type="character" w:customStyle="1" w:styleId="CommentTextChar">
    <w:name w:val="Comment Text Char"/>
    <w:basedOn w:val="DefaultParagraphFont"/>
    <w:link w:val="CommentText"/>
    <w:uiPriority w:val="99"/>
    <w:semiHidden/>
    <w:rsid w:val="00193433"/>
    <w:rPr>
      <w:sz w:val="20"/>
      <w:szCs w:val="20"/>
    </w:rPr>
  </w:style>
  <w:style w:type="paragraph" w:styleId="CommentSubject">
    <w:name w:val="annotation subject"/>
    <w:basedOn w:val="CommentText"/>
    <w:next w:val="CommentText"/>
    <w:link w:val="CommentSubjectChar"/>
    <w:uiPriority w:val="99"/>
    <w:semiHidden/>
    <w:unhideWhenUsed/>
    <w:rsid w:val="00193433"/>
    <w:rPr>
      <w:b/>
      <w:bCs/>
    </w:rPr>
  </w:style>
  <w:style w:type="character" w:customStyle="1" w:styleId="CommentSubjectChar">
    <w:name w:val="Comment Subject Char"/>
    <w:basedOn w:val="CommentTextChar"/>
    <w:link w:val="CommentSubject"/>
    <w:uiPriority w:val="99"/>
    <w:semiHidden/>
    <w:rsid w:val="00193433"/>
    <w:rPr>
      <w:b/>
      <w:bCs/>
      <w:sz w:val="20"/>
      <w:szCs w:val="20"/>
    </w:rPr>
  </w:style>
  <w:style w:type="character" w:styleId="UnresolvedMention">
    <w:name w:val="Unresolved Mention"/>
    <w:basedOn w:val="DefaultParagraphFont"/>
    <w:uiPriority w:val="99"/>
    <w:semiHidden/>
    <w:unhideWhenUsed/>
    <w:rsid w:val="00625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885024">
      <w:bodyDiv w:val="1"/>
      <w:marLeft w:val="0"/>
      <w:marRight w:val="0"/>
      <w:marTop w:val="0"/>
      <w:marBottom w:val="0"/>
      <w:divBdr>
        <w:top w:val="none" w:sz="0" w:space="0" w:color="auto"/>
        <w:left w:val="none" w:sz="0" w:space="0" w:color="auto"/>
        <w:bottom w:val="none" w:sz="0" w:space="0" w:color="auto"/>
        <w:right w:val="none" w:sz="0" w:space="0" w:color="auto"/>
      </w:divBdr>
    </w:div>
    <w:div w:id="19342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tumsandiego.com/content/dam/san-diego/documents/organizationalproviders/communications/QM_MEMO_DHP_4_14.pdf" TargetMode="External"/><Relationship Id="rId13" Type="http://schemas.openxmlformats.org/officeDocument/2006/relationships/hyperlink" Target="https://www.optumsandiego.com/content/dam/san-diego/documents/organizationalproviders/training/training_resources_packets/DHP_Resource_Packet_07.2019.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jpg@01D70C2B.64919AF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pack.com/reg/opt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dhelpdesk@optum.com" TargetMode="External"/><Relationship Id="rId10" Type="http://schemas.openxmlformats.org/officeDocument/2006/relationships/image" Target="cid:image004.jpg@01D70C2B.64919AF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optumsandiego.com/content/SanDiego/sandiego/en/county-staff---providers/orgpublicdocs/dhp-orientation-and-practice-exerci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5D90-4899-442A-B248-077622E5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11571</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Rhinesmith, Danielle</cp:lastModifiedBy>
  <cp:revision>4</cp:revision>
  <dcterms:created xsi:type="dcterms:W3CDTF">2021-04-13T20:51:00Z</dcterms:created>
  <dcterms:modified xsi:type="dcterms:W3CDTF">2021-04-13T21:05:00Z</dcterms:modified>
</cp:coreProperties>
</file>